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09" w:rsidRDefault="009E5109" w:rsidP="009E5109">
      <w:pPr>
        <w:rPr>
          <w:color w:val="FF0000"/>
          <w:sz w:val="32"/>
        </w:rPr>
      </w:pPr>
      <w:r>
        <w:rPr>
          <w:color w:val="FF0000"/>
          <w:sz w:val="32"/>
        </w:rPr>
        <w:t>WELFARE, FAMIGLIA E TERZO SETTORE</w:t>
      </w:r>
    </w:p>
    <w:p w:rsidR="009E5109" w:rsidRDefault="009E5109" w:rsidP="009E5109">
      <w:pPr>
        <w:rPr>
          <w:b/>
        </w:rPr>
      </w:pPr>
      <w:r>
        <w:rPr>
          <w:b/>
          <w:bCs/>
        </w:rPr>
        <w:t>1.711 (testo 2)</w:t>
      </w:r>
      <w:r>
        <w:t xml:space="preserve"> </w:t>
      </w:r>
      <w:r>
        <w:rPr>
          <w:b/>
          <w:highlight w:val="yellow"/>
        </w:rPr>
        <w:t>INCREMENTO FONDO PER LE POLITICHE DELLA FAMIGLIA</w:t>
      </w:r>
    </w:p>
    <w:p w:rsidR="009E5109" w:rsidRDefault="009E5109" w:rsidP="009E5109">
      <w:r>
        <w:t>IL RELATORE</w:t>
      </w:r>
    </w:p>
    <w:p w:rsidR="009E5109" w:rsidRDefault="009E5109" w:rsidP="009E5109">
      <w:r>
        <w:rPr>
          <w:i/>
          <w:iCs/>
        </w:rPr>
        <w:t>Dopo il comma 101, inserire il seguente:</w:t>
      </w:r>
    </w:p>
    <w:p w:rsidR="009E5109" w:rsidRDefault="009E5109" w:rsidP="009E5109">
      <w:r>
        <w:t>«101-</w:t>
      </w:r>
      <w:r>
        <w:rPr>
          <w:i/>
          <w:iCs/>
        </w:rPr>
        <w:t>bis</w:t>
      </w:r>
      <w:r>
        <w:t>. Il Fondo per le politiche della famiglia di cui all'articolo 19, comma 1, del decreto-legge 4 luglio 2006, n. 223, convertito, con modificazioni, dalla legge 4 agosto 2006, n. 248, è incrementato di 5 milioni di euro al fine di sostenere le adozioni internazionali ai sensi dell'articolo 1, comma 1250 della legge 27 dicembre 2006, 296.»</w:t>
      </w:r>
    </w:p>
    <w:p w:rsidR="009E5109" w:rsidRDefault="009E5109" w:rsidP="009E5109">
      <w:r>
        <w:rPr>
          <w:i/>
          <w:iCs/>
        </w:rPr>
        <w:t>Conseguentemente</w:t>
      </w:r>
    </w:p>
    <w:p w:rsidR="009E5109" w:rsidRDefault="009E5109" w:rsidP="009E5109">
      <w:r>
        <w:t xml:space="preserve">al comma 118, le parole «300 milioni» sono sostituite dalle seguenti: «295 milioni». </w:t>
      </w:r>
    </w:p>
    <w:p w:rsidR="009E5109" w:rsidRDefault="009E5109" w:rsidP="009E5109">
      <w:pPr>
        <w:shd w:val="clear" w:color="auto" w:fill="FFFFFF"/>
        <w:spacing w:after="0" w:line="276" w:lineRule="auto"/>
        <w:rPr>
          <w:b/>
          <w:bCs/>
          <w:szCs w:val="24"/>
        </w:rPr>
      </w:pPr>
    </w:p>
    <w:p w:rsidR="009E5109" w:rsidRDefault="009E5109" w:rsidP="009E5109">
      <w:pPr>
        <w:shd w:val="clear" w:color="auto" w:fill="FFFFFF"/>
        <w:spacing w:after="0" w:line="276" w:lineRule="auto"/>
        <w:rPr>
          <w:b/>
          <w:szCs w:val="24"/>
        </w:rPr>
      </w:pPr>
      <w:r>
        <w:rPr>
          <w:b/>
          <w:bCs/>
          <w:szCs w:val="24"/>
        </w:rPr>
        <w:t>2.9900</w:t>
      </w:r>
      <w:r>
        <w:rPr>
          <w:szCs w:val="24"/>
        </w:rPr>
        <w:t xml:space="preserve"> </w:t>
      </w:r>
      <w:r>
        <w:rPr>
          <w:b/>
          <w:szCs w:val="24"/>
          <w:highlight w:val="yellow"/>
        </w:rPr>
        <w:t>PATRONATI</w:t>
      </w:r>
    </w:p>
    <w:p w:rsidR="009E5109" w:rsidRDefault="009E5109" w:rsidP="009E5109">
      <w:pPr>
        <w:shd w:val="clear" w:color="auto" w:fill="FFFFFF"/>
        <w:spacing w:after="0" w:line="276" w:lineRule="auto"/>
        <w:rPr>
          <w:szCs w:val="24"/>
        </w:rPr>
      </w:pPr>
      <w:r>
        <w:rPr>
          <w:szCs w:val="24"/>
        </w:rPr>
        <w:t>IL RELATORE</w:t>
      </w:r>
    </w:p>
    <w:p w:rsidR="009E5109" w:rsidRDefault="009E5109" w:rsidP="009E5109">
      <w:pPr>
        <w:shd w:val="clear" w:color="auto" w:fill="FFFFFF"/>
        <w:spacing w:after="0" w:line="276" w:lineRule="auto"/>
        <w:rPr>
          <w:szCs w:val="24"/>
        </w:rPr>
      </w:pPr>
      <w:r>
        <w:rPr>
          <w:i/>
          <w:iCs/>
          <w:szCs w:val="24"/>
        </w:rPr>
        <w:t>a) Il comma 63 è sostituito dal seguente:</w:t>
      </w:r>
    </w:p>
    <w:p w:rsidR="009E5109" w:rsidRDefault="009E5109" w:rsidP="009E5109">
      <w:pPr>
        <w:shd w:val="clear" w:color="auto" w:fill="FFFFFF"/>
        <w:spacing w:after="0" w:line="276" w:lineRule="auto"/>
        <w:jc w:val="both"/>
        <w:rPr>
          <w:szCs w:val="24"/>
        </w:rPr>
      </w:pPr>
      <w:r>
        <w:rPr>
          <w:szCs w:val="24"/>
        </w:rPr>
        <w:t>"63. Con riferimento all'esercizio finanziario 2015 gli specifici stanziamenti iscritti nello stato di previsione del Ministero del lavoro e delle politiche sociali per il finanziamento degli istituti di cui al comma 1 dell'articolo 13 della legge 30 marzo 2001, n. 152, sono complessivamente e proporzionalmente ridotti di 35 milioni di euro. I risparmi derivanti dal primo periodo conseguono a maggiori somme effettivamente affluite al bilancio dello Stato in deroga a quanto previsto dal citato articolo 13, comma 1, della legge n. 152 del 2001. Con effetto dall'esercizio finanziario 2016, ai commi 4 e 5 dell'articolo 13 della legge n. 152 del 2001, le parole: «dell'80 per cento» sono sostituite dalle seguenti: «del 72 per cento». A valere sul gettito dei contributi previdenziali obbligatori incassati dall'anno 2014, l'aliquota di prelevamento di cui al comma 1 dell'articolo 13 della legge n. 152 del 2001 è rideterminata nella misura dello 0,207 per cento."</w:t>
      </w:r>
    </w:p>
    <w:p w:rsidR="009E5109" w:rsidRDefault="009E5109" w:rsidP="009E5109">
      <w:pPr>
        <w:shd w:val="clear" w:color="auto" w:fill="FFFFFF"/>
        <w:spacing w:after="0" w:line="276" w:lineRule="auto"/>
        <w:jc w:val="both"/>
        <w:rPr>
          <w:szCs w:val="24"/>
        </w:rPr>
      </w:pPr>
      <w:r>
        <w:rPr>
          <w:i/>
          <w:iCs/>
          <w:szCs w:val="24"/>
        </w:rPr>
        <w:t>b)</w:t>
      </w:r>
      <w:r>
        <w:rPr>
          <w:szCs w:val="24"/>
        </w:rPr>
        <w:t xml:space="preserve"> </w:t>
      </w:r>
      <w:r>
        <w:rPr>
          <w:i/>
          <w:iCs/>
          <w:szCs w:val="24"/>
        </w:rPr>
        <w:t>Al comma 64 apportare le seguenti modificazioni:</w:t>
      </w:r>
    </w:p>
    <w:p w:rsidR="009E5109" w:rsidRDefault="009E5109" w:rsidP="009E5109">
      <w:pPr>
        <w:shd w:val="clear" w:color="auto" w:fill="FFFFFF"/>
        <w:spacing w:after="0" w:line="276" w:lineRule="auto"/>
        <w:jc w:val="both"/>
        <w:rPr>
          <w:szCs w:val="24"/>
        </w:rPr>
      </w:pPr>
      <w:r>
        <w:rPr>
          <w:szCs w:val="24"/>
        </w:rPr>
        <w:t>1) Alla lettera c) capoverso "Art. 10" lett. a) aggiungere dopo le parole: "sicurezza del lavoro;" le seguenti: ". Lo schema di convenzione che definisce le modalità di esercizio delle predette attività verrà approvato con decreto del Ministero del lavoro e delle politiche sociali, sentiti gli enti di patronati ed i Ministeri competenti per materia, da emanarsi entro il 30 giugno 2015;";</w:t>
      </w:r>
    </w:p>
    <w:p w:rsidR="009E5109" w:rsidRDefault="009E5109" w:rsidP="009E5109">
      <w:pPr>
        <w:shd w:val="clear" w:color="auto" w:fill="FFFFFF"/>
        <w:spacing w:after="0" w:line="276" w:lineRule="auto"/>
        <w:jc w:val="both"/>
        <w:rPr>
          <w:szCs w:val="24"/>
        </w:rPr>
      </w:pPr>
      <w:r>
        <w:rPr>
          <w:szCs w:val="24"/>
        </w:rPr>
        <w:t>2) Alla lettera e) capoverso c-</w:t>
      </w:r>
      <w:r>
        <w:rPr>
          <w:i/>
          <w:iCs/>
          <w:szCs w:val="24"/>
        </w:rPr>
        <w:t>bis</w:t>
      </w:r>
      <w:r>
        <w:rPr>
          <w:szCs w:val="24"/>
        </w:rPr>
        <w:t>) le parole "2,5 per cento" sono sostituite dalle seguenti: "l,5 per cento";</w:t>
      </w:r>
    </w:p>
    <w:p w:rsidR="009E5109" w:rsidRDefault="009E5109" w:rsidP="009E5109">
      <w:pPr>
        <w:shd w:val="clear" w:color="auto" w:fill="FFFFFF"/>
        <w:spacing w:after="0" w:line="276" w:lineRule="auto"/>
        <w:jc w:val="both"/>
        <w:rPr>
          <w:szCs w:val="24"/>
        </w:rPr>
      </w:pPr>
      <w:r>
        <w:rPr>
          <w:i/>
          <w:iCs/>
          <w:szCs w:val="24"/>
        </w:rPr>
        <w:t>Conseguentemente,</w:t>
      </w:r>
    </w:p>
    <w:p w:rsidR="009E5109" w:rsidRDefault="009E5109" w:rsidP="009E5109">
      <w:pPr>
        <w:shd w:val="clear" w:color="auto" w:fill="FFFFFF"/>
        <w:spacing w:after="0" w:line="276" w:lineRule="auto"/>
        <w:jc w:val="both"/>
        <w:rPr>
          <w:szCs w:val="24"/>
        </w:rPr>
      </w:pPr>
      <w:r>
        <w:rPr>
          <w:szCs w:val="24"/>
        </w:rPr>
        <w:t>All'articolo 3, dopo il comma 66, inserire il seguente: "66-</w:t>
      </w:r>
      <w:r>
        <w:rPr>
          <w:i/>
          <w:iCs/>
          <w:szCs w:val="24"/>
        </w:rPr>
        <w:t>bis</w:t>
      </w:r>
      <w:r>
        <w:rPr>
          <w:szCs w:val="24"/>
        </w:rPr>
        <w:t>. L'autorizzazione di spesa di cui all'articolo 10, comma 5, del decreto-legge 29 novembre 2004, n. 282, convertito, con modificazioni, dalla legge 27 dicembre 2004, n. 307, è ridotta di 40 milioni di euro annui a decorrere dall'anno 2015.</w:t>
      </w:r>
    </w:p>
    <w:p w:rsidR="009E5109" w:rsidRDefault="009E5109" w:rsidP="009E5109">
      <w:pPr>
        <w:shd w:val="clear" w:color="auto" w:fill="FFFFFF"/>
        <w:spacing w:after="0" w:line="276" w:lineRule="auto"/>
        <w:rPr>
          <w:rFonts w:eastAsia="Times New Roman"/>
          <w:b/>
          <w:bCs/>
          <w:szCs w:val="24"/>
          <w:lang w:eastAsia="it-IT"/>
        </w:rPr>
      </w:pPr>
    </w:p>
    <w:p w:rsidR="009E5109" w:rsidRDefault="009E5109" w:rsidP="009E5109">
      <w:pPr>
        <w:shd w:val="clear" w:color="auto" w:fill="FFFFFF"/>
        <w:spacing w:after="0" w:line="276" w:lineRule="auto"/>
        <w:rPr>
          <w:rFonts w:eastAsia="Times New Roman"/>
          <w:szCs w:val="24"/>
          <w:lang w:eastAsia="it-IT"/>
        </w:rPr>
      </w:pPr>
      <w:r>
        <w:rPr>
          <w:rFonts w:eastAsia="Times New Roman"/>
          <w:b/>
          <w:bCs/>
          <w:szCs w:val="24"/>
          <w:lang w:eastAsia="it-IT"/>
        </w:rPr>
        <w:t xml:space="preserve">1.9000 </w:t>
      </w:r>
      <w:r>
        <w:rPr>
          <w:rFonts w:eastAsia="Times New Roman"/>
          <w:b/>
          <w:bCs/>
          <w:szCs w:val="24"/>
          <w:highlight w:val="yellow"/>
          <w:lang w:eastAsia="it-IT"/>
        </w:rPr>
        <w:t>CINQUE PER MILLE</w:t>
      </w:r>
      <w:r>
        <w:rPr>
          <w:rFonts w:eastAsia="Times New Roman"/>
          <w:b/>
          <w:bCs/>
          <w:szCs w:val="24"/>
          <w:lang w:eastAsia="it-IT"/>
        </w:rPr>
        <w:t xml:space="preserve"> </w:t>
      </w:r>
    </w:p>
    <w:p w:rsidR="009E5109" w:rsidRDefault="009E5109" w:rsidP="009E5109">
      <w:pPr>
        <w:shd w:val="clear" w:color="auto" w:fill="FFFFFF"/>
        <w:spacing w:after="0" w:line="276" w:lineRule="auto"/>
        <w:rPr>
          <w:rFonts w:eastAsia="Times New Roman"/>
          <w:szCs w:val="24"/>
          <w:lang w:eastAsia="it-IT"/>
        </w:rPr>
      </w:pPr>
      <w:r>
        <w:rPr>
          <w:rFonts w:eastAsia="Times New Roman"/>
          <w:szCs w:val="24"/>
          <w:lang w:eastAsia="it-IT"/>
        </w:rPr>
        <w:t>IL GOVERNO</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i/>
          <w:iCs/>
          <w:szCs w:val="24"/>
          <w:lang w:eastAsia="it-IT"/>
        </w:rPr>
        <w:t xml:space="preserve">Al comma 115, dopo il secondo periodo inserire il seguente: </w:t>
      </w:r>
      <w:r>
        <w:rPr>
          <w:rFonts w:eastAsia="Times New Roman"/>
          <w:szCs w:val="24"/>
          <w:lang w:eastAsia="it-IT"/>
        </w:rPr>
        <w:t xml:space="preserve">«Ai fini di assicurare trasparenza ed efficacia nell'utilizzazione della quota del cinque per mille dell'imposta sul reddito delle persone fisiche, con decreto di natura non regolamentare del Presidente del Consiglio dei ministri, su proposta del Ministro dell'economia e delle finanze, da adottarsi entro sessanta giorni dall'entrata in vigore della presente legge, sono definite le modalità di redazione del rendiconto, dal quale risulti in modo chiaro e trasparente la destinazione di tutte le somme erogate ai soggetti beneficiari, e di recupero delle stesse per violazione degli obblighi di rendicontazione, nonché le modalità di pubblicazione sul sito web di ciascuna amministrazione erogatrice </w:t>
      </w:r>
      <w:r>
        <w:rPr>
          <w:rFonts w:eastAsia="Times New Roman"/>
          <w:szCs w:val="24"/>
          <w:lang w:eastAsia="it-IT"/>
        </w:rPr>
        <w:lastRenderedPageBreak/>
        <w:t>degli elenchi dei soggetti ai quali è stato erogato il contributo, con l'indicazione del relativo importo, nonché le modalità di pubblicazione sullo stesso sito dei rendiconti trasmessi. In caso di violazione degli obblighi di pubblicazione sul sito web a carico di ciascuna amministrazione erogatrice e di comunicazione della rendicontazione da parte degli assegnatari, si applicano le sanzioni di cui agli articoli 46 e 47 del decreto legislativo 14 marzo 2013, n. 33.».</w:t>
      </w:r>
    </w:p>
    <w:p w:rsidR="009E5109" w:rsidRDefault="009E5109" w:rsidP="009E5109">
      <w:pPr>
        <w:shd w:val="clear" w:color="auto" w:fill="FFFFFF"/>
        <w:spacing w:after="0" w:line="276" w:lineRule="auto"/>
        <w:jc w:val="both"/>
        <w:rPr>
          <w:rFonts w:eastAsia="Times New Roman"/>
          <w:b/>
          <w:bCs/>
          <w:szCs w:val="24"/>
          <w:lang w:eastAsia="it-IT"/>
        </w:rPr>
      </w:pPr>
    </w:p>
    <w:p w:rsidR="009E5109" w:rsidRDefault="009E5109" w:rsidP="009E5109">
      <w:pPr>
        <w:shd w:val="clear" w:color="auto" w:fill="FFFFFF"/>
        <w:spacing w:after="0" w:line="276" w:lineRule="auto"/>
        <w:jc w:val="both"/>
        <w:rPr>
          <w:rFonts w:eastAsia="Times New Roman"/>
          <w:b/>
          <w:bCs/>
          <w:szCs w:val="24"/>
          <w:lang w:eastAsia="it-IT"/>
        </w:rPr>
      </w:pPr>
    </w:p>
    <w:p w:rsidR="009E5109" w:rsidRDefault="009E5109" w:rsidP="009E5109">
      <w:pPr>
        <w:shd w:val="clear" w:color="auto" w:fill="FFFFFF"/>
        <w:spacing w:after="0" w:line="276" w:lineRule="auto"/>
        <w:jc w:val="both"/>
        <w:rPr>
          <w:rFonts w:eastAsia="Times New Roman"/>
          <w:szCs w:val="24"/>
          <w:lang w:eastAsia="it-IT"/>
        </w:rPr>
      </w:pPr>
      <w:r>
        <w:rPr>
          <w:rFonts w:eastAsia="Times New Roman"/>
          <w:b/>
          <w:bCs/>
          <w:szCs w:val="24"/>
          <w:lang w:eastAsia="it-IT"/>
        </w:rPr>
        <w:t>1.9207</w:t>
      </w:r>
      <w:r>
        <w:rPr>
          <w:szCs w:val="24"/>
        </w:rPr>
        <w:t xml:space="preserve"> </w:t>
      </w:r>
      <w:r>
        <w:rPr>
          <w:rFonts w:eastAsia="Times New Roman"/>
          <w:b/>
          <w:bCs/>
          <w:szCs w:val="24"/>
          <w:highlight w:val="yellow"/>
          <w:lang w:eastAsia="it-IT"/>
        </w:rPr>
        <w:t>ESTENSIONE CITTADINI EXTRACOMUNITARI CARTA ACQUISTI</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szCs w:val="24"/>
          <w:lang w:eastAsia="it-IT"/>
        </w:rPr>
        <w:t>IL GOVERNO</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i/>
          <w:iCs/>
          <w:szCs w:val="24"/>
          <w:lang w:eastAsia="it-IT"/>
        </w:rPr>
        <w:t>Dopo il comma 117, inserire il seguente:</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szCs w:val="24"/>
          <w:lang w:eastAsia="it-IT"/>
        </w:rPr>
        <w:t>«117-</w:t>
      </w:r>
      <w:r>
        <w:rPr>
          <w:rFonts w:eastAsia="Times New Roman"/>
          <w:i/>
          <w:iCs/>
          <w:szCs w:val="24"/>
          <w:lang w:eastAsia="it-IT"/>
        </w:rPr>
        <w:t>bis</w:t>
      </w:r>
      <w:r>
        <w:rPr>
          <w:rFonts w:eastAsia="Times New Roman"/>
          <w:szCs w:val="24"/>
          <w:lang w:eastAsia="it-IT"/>
        </w:rPr>
        <w:t>. Restano validi gli atti e i provvedimenti adottati e sono fatti salvi i rapporti giuridici sorti e gli effetti prodottisi sulla base dell'articolo 9, comma 15, del decreto-leggi 30 dicembre 2013, n. 150, soppresso dalla legge di conversione 27 febbraio 2014, n. 15, fino alla data in cui è stato perfezionato il contratto con il Gestore del servizio integrato di gestione delle carte acquisti e dei relativi rapporti amministrativi, così da adempiere alle obbligazioni verso Poste S.p.a. sorte nel periodo di vigenza del citato articolo 9, comma 15».</w:t>
      </w:r>
    </w:p>
    <w:p w:rsidR="009E5109" w:rsidRDefault="009E5109" w:rsidP="009E5109">
      <w:pPr>
        <w:shd w:val="clear" w:color="auto" w:fill="FFFFFF"/>
        <w:spacing w:after="0" w:line="276" w:lineRule="auto"/>
        <w:jc w:val="both"/>
        <w:rPr>
          <w:rFonts w:eastAsia="Times New Roman"/>
          <w:b/>
          <w:bCs/>
          <w:szCs w:val="24"/>
          <w:lang w:eastAsia="it-IT"/>
        </w:rPr>
      </w:pPr>
    </w:p>
    <w:p w:rsidR="009E5109" w:rsidRDefault="009E5109" w:rsidP="009E5109">
      <w:pPr>
        <w:shd w:val="clear" w:color="auto" w:fill="FFFFFF"/>
        <w:spacing w:after="0" w:line="276" w:lineRule="auto"/>
        <w:jc w:val="both"/>
        <w:rPr>
          <w:rFonts w:eastAsia="Times New Roman"/>
          <w:b/>
          <w:bCs/>
          <w:szCs w:val="24"/>
          <w:lang w:eastAsia="it-IT"/>
        </w:rPr>
      </w:pPr>
    </w:p>
    <w:p w:rsidR="009E5109" w:rsidRDefault="009E5109" w:rsidP="009E5109">
      <w:pPr>
        <w:shd w:val="clear" w:color="auto" w:fill="FFFFFF"/>
        <w:spacing w:after="0" w:line="276" w:lineRule="auto"/>
        <w:jc w:val="both"/>
        <w:rPr>
          <w:rFonts w:eastAsia="Times New Roman"/>
          <w:szCs w:val="24"/>
          <w:lang w:eastAsia="it-IT"/>
        </w:rPr>
      </w:pPr>
      <w:r>
        <w:rPr>
          <w:rFonts w:eastAsia="Times New Roman"/>
          <w:b/>
          <w:bCs/>
          <w:szCs w:val="24"/>
          <w:lang w:eastAsia="it-IT"/>
        </w:rPr>
        <w:t xml:space="preserve">3.4113 </w:t>
      </w:r>
      <w:r>
        <w:rPr>
          <w:rFonts w:eastAsia="Times New Roman"/>
          <w:b/>
          <w:bCs/>
          <w:szCs w:val="24"/>
          <w:highlight w:val="yellow"/>
          <w:lang w:eastAsia="it-IT"/>
        </w:rPr>
        <w:t>INCREMENTO FONDO NAZIONALE PER IL SERVIZIO CIVILE</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szCs w:val="24"/>
          <w:lang w:eastAsia="it-IT"/>
        </w:rPr>
        <w:t>IL GOVERNO</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i/>
          <w:iCs/>
          <w:szCs w:val="24"/>
          <w:lang w:eastAsia="it-IT"/>
        </w:rPr>
        <w:t>Dopo il comma 66, inserire il seguente:</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szCs w:val="24"/>
          <w:lang w:eastAsia="it-IT"/>
        </w:rPr>
        <w:t>«66-</w:t>
      </w:r>
      <w:r>
        <w:rPr>
          <w:rFonts w:eastAsia="Times New Roman"/>
          <w:i/>
          <w:iCs/>
          <w:szCs w:val="24"/>
          <w:lang w:eastAsia="it-IT"/>
        </w:rPr>
        <w:t>bis</w:t>
      </w:r>
      <w:r>
        <w:rPr>
          <w:rFonts w:eastAsia="Times New Roman"/>
          <w:szCs w:val="24"/>
          <w:lang w:eastAsia="it-IT"/>
        </w:rPr>
        <w:t>. L'autorizzazione di spesa di cui all'articolo 10, comma 5, del decreto-legge 29 novembre 2004, n. 282, convertito, con modificazioni, dalla legge 27 dicembre 2004, n. 307, è ridotta di 50 milioni di euro annui a decorrere dal 2015».</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i/>
          <w:iCs/>
          <w:szCs w:val="24"/>
          <w:lang w:eastAsia="it-IT"/>
        </w:rPr>
        <w:t>Conseguentemente, alla Tabella C allegata, Missione</w:t>
      </w:r>
      <w:r>
        <w:rPr>
          <w:rFonts w:eastAsia="Times New Roman"/>
          <w:szCs w:val="24"/>
          <w:lang w:eastAsia="it-IT"/>
        </w:rPr>
        <w:t xml:space="preserve"> «Organi costituzionali, a rilevanza costituzionale e Presidenza del Consiglio dei Ministri»,</w:t>
      </w:r>
      <w:r>
        <w:rPr>
          <w:rFonts w:eastAsia="Times New Roman"/>
          <w:i/>
          <w:iCs/>
          <w:szCs w:val="24"/>
          <w:lang w:eastAsia="it-IT"/>
        </w:rPr>
        <w:t xml:space="preserve"> Programma</w:t>
      </w:r>
      <w:r>
        <w:rPr>
          <w:rFonts w:eastAsia="Times New Roman"/>
          <w:szCs w:val="24"/>
          <w:lang w:eastAsia="it-IT"/>
        </w:rPr>
        <w:t xml:space="preserve"> «Presidenza del Consiglio dei Ministri»</w:t>
      </w:r>
      <w:r>
        <w:rPr>
          <w:rFonts w:eastAsia="Times New Roman"/>
          <w:i/>
          <w:iCs/>
          <w:szCs w:val="24"/>
          <w:lang w:eastAsia="it-IT"/>
        </w:rPr>
        <w:t>, voce</w:t>
      </w:r>
      <w:r>
        <w:rPr>
          <w:rFonts w:eastAsia="Times New Roman"/>
          <w:szCs w:val="24"/>
          <w:lang w:eastAsia="it-IT"/>
        </w:rPr>
        <w:t xml:space="preserve"> «Ministero dell'economia e delle finanze»</w:t>
      </w:r>
      <w:r>
        <w:rPr>
          <w:rFonts w:eastAsia="Times New Roman"/>
          <w:i/>
          <w:iCs/>
          <w:szCs w:val="24"/>
          <w:lang w:eastAsia="it-IT"/>
        </w:rPr>
        <w:t>, legge 230 del 1998, articolo 19,</w:t>
      </w:r>
      <w:r>
        <w:rPr>
          <w:rFonts w:eastAsia="Times New Roman"/>
          <w:szCs w:val="24"/>
          <w:lang w:eastAsia="it-IT"/>
        </w:rPr>
        <w:t xml:space="preserve"> «Fondo nazionale per il Servizio civile»</w:t>
      </w:r>
      <w:r>
        <w:rPr>
          <w:rFonts w:eastAsia="Times New Roman"/>
          <w:i/>
          <w:iCs/>
          <w:szCs w:val="24"/>
          <w:lang w:eastAsia="it-IT"/>
        </w:rPr>
        <w:t>, (21.3 – cap. 2185), apportare le seguenti variazioni:</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2015:</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CP: + 50.000.000;</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CS: + 50.000.000;</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2016:</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CP: + 50.000.000;</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CS: + 50.000.000;</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2017:</w:t>
      </w:r>
    </w:p>
    <w:p w:rsidR="009E5109" w:rsidRDefault="009E5109" w:rsidP="009E5109">
      <w:pPr>
        <w:shd w:val="clear" w:color="auto" w:fill="FFFFFF"/>
        <w:spacing w:after="0" w:line="276" w:lineRule="auto"/>
        <w:jc w:val="both"/>
        <w:rPr>
          <w:rFonts w:eastAsia="Times New Roman"/>
          <w:szCs w:val="24"/>
          <w:lang w:val="en-US" w:eastAsia="it-IT"/>
        </w:rPr>
      </w:pPr>
      <w:r>
        <w:rPr>
          <w:rFonts w:eastAsia="Times New Roman"/>
          <w:szCs w:val="24"/>
          <w:lang w:val="en-US" w:eastAsia="it-IT"/>
        </w:rPr>
        <w:t>CP: + 50.000.000;</w:t>
      </w:r>
    </w:p>
    <w:p w:rsidR="009E5109" w:rsidRDefault="009E5109" w:rsidP="009E5109">
      <w:pPr>
        <w:shd w:val="clear" w:color="auto" w:fill="FFFFFF"/>
        <w:spacing w:after="0" w:line="276" w:lineRule="auto"/>
        <w:jc w:val="both"/>
        <w:rPr>
          <w:rFonts w:eastAsia="Times New Roman"/>
          <w:szCs w:val="24"/>
          <w:lang w:eastAsia="it-IT"/>
        </w:rPr>
      </w:pPr>
      <w:r>
        <w:rPr>
          <w:rFonts w:eastAsia="Times New Roman"/>
          <w:szCs w:val="24"/>
          <w:lang w:eastAsia="it-IT"/>
        </w:rPr>
        <w:t>CS: + 50.000.000.</w:t>
      </w:r>
    </w:p>
    <w:p w:rsidR="002428F6" w:rsidRDefault="009E5109">
      <w:bookmarkStart w:id="0" w:name="_GoBack"/>
      <w:bookmarkEnd w:id="0"/>
    </w:p>
    <w:sectPr w:rsidR="00242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09"/>
    <w:rsid w:val="009E5109"/>
    <w:rsid w:val="00A77A29"/>
    <w:rsid w:val="00C03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27A6E-8C11-4967-87BE-12177EC4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109"/>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9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2</cp:revision>
  <dcterms:created xsi:type="dcterms:W3CDTF">2014-12-19T18:19:00Z</dcterms:created>
  <dcterms:modified xsi:type="dcterms:W3CDTF">2014-12-19T18:20:00Z</dcterms:modified>
</cp:coreProperties>
</file>