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AF" w:rsidRDefault="005270AF" w:rsidP="005270AF">
      <w:pPr>
        <w:shd w:val="clear" w:color="auto" w:fill="FFFFFF"/>
        <w:spacing w:after="0" w:line="276" w:lineRule="auto"/>
        <w:rPr>
          <w:rFonts w:eastAsia="Times New Roman"/>
          <w:bCs/>
          <w:color w:val="FF0000"/>
          <w:sz w:val="32"/>
          <w:szCs w:val="32"/>
          <w:lang w:eastAsia="it-IT"/>
        </w:rPr>
      </w:pPr>
      <w:r>
        <w:rPr>
          <w:rFonts w:eastAsia="Times New Roman"/>
          <w:bCs/>
          <w:color w:val="FF0000"/>
          <w:sz w:val="32"/>
          <w:szCs w:val="32"/>
          <w:lang w:eastAsia="it-IT"/>
        </w:rPr>
        <w:t>PERSONE DISABILI</w:t>
      </w:r>
    </w:p>
    <w:p w:rsidR="005270AF" w:rsidRDefault="005270AF" w:rsidP="005270AF">
      <w:pPr>
        <w:shd w:val="clear" w:color="auto" w:fill="FFFFFF"/>
        <w:spacing w:after="0" w:line="276" w:lineRule="auto"/>
        <w:rPr>
          <w:rFonts w:eastAsia="Times New Roman"/>
          <w:b/>
          <w:bCs/>
          <w:szCs w:val="24"/>
          <w:lang w:eastAsia="it-IT"/>
        </w:rPr>
      </w:pPr>
    </w:p>
    <w:p w:rsidR="005270AF" w:rsidRDefault="005270AF" w:rsidP="005270AF">
      <w:pPr>
        <w:shd w:val="clear" w:color="auto" w:fill="FFFFFF"/>
        <w:spacing w:after="0" w:line="276" w:lineRule="auto"/>
        <w:rPr>
          <w:rFonts w:eastAsia="Times New Roman"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 xml:space="preserve">1.995 </w:t>
      </w:r>
      <w:r>
        <w:rPr>
          <w:rFonts w:eastAsia="Times New Roman"/>
          <w:b/>
          <w:bCs/>
          <w:szCs w:val="24"/>
          <w:highlight w:val="yellow"/>
          <w:lang w:eastAsia="it-IT"/>
        </w:rPr>
        <w:t>REINSERIMENTO DISABILI LAVORO</w:t>
      </w:r>
    </w:p>
    <w:p w:rsidR="005270AF" w:rsidRDefault="00691122" w:rsidP="005270AF">
      <w:pPr>
        <w:shd w:val="clear" w:color="auto" w:fill="FFFFFF"/>
        <w:spacing w:after="0" w:line="276" w:lineRule="auto"/>
        <w:rPr>
          <w:rFonts w:eastAsia="Times New Roman"/>
          <w:szCs w:val="24"/>
          <w:lang w:eastAsia="it-IT"/>
        </w:rPr>
      </w:pPr>
      <w:hyperlink r:id="rId4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FAVERO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5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FABBRI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6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FEDELI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7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GUERRA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8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RICCHIUTI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9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PARENTE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0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ZANONI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1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BORIOLI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2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DI GIORGI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3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LEPRI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4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DE BIASI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5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BIANCO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6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LAI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7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VACCARI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8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ALBANO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19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IDEM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0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PEZZOPANE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1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PUPPATO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2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MANASSERO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3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FASIOLO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4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SOLLO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5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D'ADDA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6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ELENA FERRARA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7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MATTESINI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8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SPILABOTTE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29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LO GIUDICE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0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LUCHERINI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1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CUOMO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2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COLLINA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3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AMATI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4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PAGLIARI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5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RUSSO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6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GRANAIOLA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7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DIRINDIN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8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MATURANI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39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PADUA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40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SILVESTRO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41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VALDINOSI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42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CARDINALI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43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DALLA ZUANNA</w:t>
        </w:r>
      </w:hyperlink>
      <w:r w:rsidR="005270AF">
        <w:rPr>
          <w:rFonts w:eastAsia="Times New Roman"/>
          <w:szCs w:val="24"/>
          <w:lang w:eastAsia="it-IT"/>
        </w:rPr>
        <w:t xml:space="preserve">, </w:t>
      </w:r>
      <w:hyperlink r:id="rId44" w:tooltip="Il link apre una nuova finestra" w:history="1">
        <w:r w:rsidR="005270AF">
          <w:rPr>
            <w:rStyle w:val="Collegamentoipertestuale"/>
            <w:rFonts w:eastAsia="Times New Roman"/>
            <w:color w:val="auto"/>
            <w:szCs w:val="24"/>
            <w:u w:val="none"/>
            <w:lang w:eastAsia="it-IT"/>
          </w:rPr>
          <w:t>CHITI</w:t>
        </w:r>
      </w:hyperlink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i/>
          <w:iCs/>
          <w:szCs w:val="24"/>
          <w:lang w:eastAsia="it-IT"/>
        </w:rPr>
        <w:t>Dopo il comma 119 aggiungere il seguente: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«119-</w:t>
      </w:r>
      <w:r>
        <w:rPr>
          <w:rFonts w:eastAsia="Times New Roman"/>
          <w:i/>
          <w:iCs/>
          <w:szCs w:val="24"/>
          <w:lang w:eastAsia="it-IT"/>
        </w:rPr>
        <w:t>bis</w:t>
      </w:r>
      <w:r>
        <w:rPr>
          <w:rFonts w:eastAsia="Times New Roman"/>
          <w:szCs w:val="24"/>
          <w:lang w:eastAsia="it-IT"/>
        </w:rPr>
        <w:t>. All'Istituto nazionale per l'assicurazione contro gli infortuni sul lavoro (INAIL) sono attribuite le competenze in materia di reinserimento e di integrazione lavorativa delle persone con disabilità da lavoro, da realizzare con progetti personalizzati mirati alla conservazione del posto di lavoro o alla ricerca di nuova occupazione, con interventi formativi di riqualificazione professionale, con progetti per il superamento e per l'abbattimento delle barriere architettoniche sui luoghi di lavoro, con interventi di adeguamento e di adattamento delle postazioni di lavoro. L'attuazione delle disposizioni di cui al presente comma è a carico del bilancio dell'INAIL, senza nuovi o maggiori oneri a carico per la finanza pubblica».</w:t>
      </w:r>
    </w:p>
    <w:p w:rsidR="005270AF" w:rsidRDefault="005270AF" w:rsidP="005270AF"/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4"/>
          <w:lang w:eastAsia="it-IT"/>
        </w:rPr>
      </w:pP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 xml:space="preserve">1.9208 </w:t>
      </w:r>
      <w:r>
        <w:rPr>
          <w:rFonts w:eastAsia="Times New Roman"/>
          <w:b/>
          <w:bCs/>
          <w:szCs w:val="24"/>
          <w:highlight w:val="yellow"/>
          <w:lang w:eastAsia="it-IT"/>
        </w:rPr>
        <w:t>INCREMENTO FONDO PER IL DIRITTO AL LAVORO DEI DISABILI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IL GOVERNO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i/>
          <w:iCs/>
          <w:szCs w:val="24"/>
          <w:lang w:eastAsia="it-IT"/>
        </w:rPr>
        <w:t>Dopo il comma 119, inserire i seguenti: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«119-</w:t>
      </w:r>
      <w:r>
        <w:rPr>
          <w:rFonts w:eastAsia="Times New Roman"/>
          <w:i/>
          <w:iCs/>
          <w:szCs w:val="24"/>
          <w:lang w:eastAsia="it-IT"/>
        </w:rPr>
        <w:t>bis</w:t>
      </w:r>
      <w:r>
        <w:rPr>
          <w:rFonts w:eastAsia="Times New Roman"/>
          <w:szCs w:val="24"/>
          <w:lang w:eastAsia="it-IT"/>
        </w:rPr>
        <w:t>. La dotazione del Fondo per il diritto al lavoro dei disabili di cui all'articolo 13, comma 4, della legge 12 marzo 1999, n. 68, è incrementata di 20 milioni di euro annui a decorrere dall'anno 2015».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119-</w:t>
      </w:r>
      <w:r>
        <w:rPr>
          <w:rFonts w:eastAsia="Times New Roman"/>
          <w:i/>
          <w:iCs/>
          <w:szCs w:val="24"/>
          <w:lang w:eastAsia="it-IT"/>
        </w:rPr>
        <w:t>ter.</w:t>
      </w:r>
      <w:r>
        <w:rPr>
          <w:rFonts w:eastAsia="Times New Roman"/>
          <w:szCs w:val="24"/>
          <w:lang w:eastAsia="it-IT"/>
        </w:rPr>
        <w:t xml:space="preserve"> Agli oneri derivanti dall'attuazione del comma 119-</w:t>
      </w:r>
      <w:r>
        <w:rPr>
          <w:rFonts w:eastAsia="Times New Roman"/>
          <w:i/>
          <w:iCs/>
          <w:szCs w:val="24"/>
          <w:lang w:eastAsia="it-IT"/>
        </w:rPr>
        <w:t>bis</w:t>
      </w:r>
      <w:r>
        <w:rPr>
          <w:rFonts w:eastAsia="Times New Roman"/>
          <w:szCs w:val="24"/>
          <w:lang w:eastAsia="it-IT"/>
        </w:rPr>
        <w:t xml:space="preserve"> pari a 20 milioni di euro a decorrere all'anno 2015, si provvede mediante corrispondente riduzione del Fondo per interventi strutturali di politica economica, di cui all'articolo 10, comma 5, del decreto-legge 29 novembre 2004, n. 282, convertito, con modificazioni, dalla legge 27 dicembre 2004, n. 307».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4"/>
          <w:lang w:eastAsia="it-IT"/>
        </w:rPr>
      </w:pP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4"/>
          <w:lang w:eastAsia="it-IT"/>
        </w:rPr>
      </w:pP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b/>
          <w:bCs/>
          <w:szCs w:val="24"/>
          <w:lang w:eastAsia="it-IT"/>
        </w:rPr>
        <w:t>1.9211</w:t>
      </w:r>
      <w:r>
        <w:rPr>
          <w:szCs w:val="24"/>
        </w:rPr>
        <w:t xml:space="preserve"> </w:t>
      </w:r>
      <w:r>
        <w:rPr>
          <w:rFonts w:eastAsia="Times New Roman"/>
          <w:b/>
          <w:szCs w:val="24"/>
          <w:highlight w:val="yellow"/>
          <w:lang w:eastAsia="it-IT"/>
        </w:rPr>
        <w:t>COMITATO PARAOLIMPICO NAZIONALE</w:t>
      </w:r>
      <w:r>
        <w:rPr>
          <w:rFonts w:eastAsia="Times New Roman"/>
          <w:szCs w:val="24"/>
          <w:lang w:eastAsia="it-IT"/>
        </w:rPr>
        <w:t xml:space="preserve"> 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IL GOVERNO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i/>
          <w:iCs/>
          <w:szCs w:val="24"/>
          <w:lang w:eastAsia="it-IT"/>
        </w:rPr>
        <w:t>Dopo il comma 132, inserire il seguente: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«132-</w:t>
      </w:r>
      <w:r>
        <w:rPr>
          <w:rFonts w:eastAsia="Times New Roman"/>
          <w:i/>
          <w:iCs/>
          <w:szCs w:val="24"/>
          <w:lang w:eastAsia="it-IT"/>
        </w:rPr>
        <w:t>bis</w:t>
      </w:r>
      <w:r>
        <w:rPr>
          <w:rFonts w:eastAsia="Times New Roman"/>
          <w:szCs w:val="24"/>
          <w:lang w:eastAsia="it-IT"/>
        </w:rPr>
        <w:t>. Per il finanziamento delle attività istituzionali del Comitato paralimpico nazionale di cui all'articolo 1, comma 1, della legge 15 luglio 2003, n. 189, è autorizzata la spesa di 7 milioni di euro annui a decorrere dall'anno 2015.».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i/>
          <w:iCs/>
          <w:szCs w:val="24"/>
          <w:lang w:eastAsia="it-IT"/>
        </w:rPr>
        <w:t>Conseguentemente, alla tabella A, voce</w:t>
      </w:r>
      <w:r>
        <w:rPr>
          <w:rFonts w:eastAsia="Times New Roman"/>
          <w:szCs w:val="24"/>
          <w:lang w:eastAsia="it-IT"/>
        </w:rPr>
        <w:t xml:space="preserve"> Ministero dell'economia e delle finanze, </w:t>
      </w:r>
      <w:r>
        <w:rPr>
          <w:rFonts w:eastAsia="Times New Roman"/>
          <w:i/>
          <w:iCs/>
          <w:szCs w:val="24"/>
          <w:lang w:eastAsia="it-IT"/>
        </w:rPr>
        <w:t>apportare le seguenti variazioni: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2015: – 7.000.000;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2016: – 7.000.000;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szCs w:val="24"/>
          <w:lang w:eastAsia="it-IT"/>
        </w:rPr>
      </w:pPr>
      <w:r>
        <w:rPr>
          <w:rFonts w:eastAsia="Times New Roman"/>
          <w:szCs w:val="24"/>
          <w:lang w:eastAsia="it-IT"/>
        </w:rPr>
        <w:t>2017: – 7.000.000.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rFonts w:eastAsia="Times New Roman"/>
          <w:b/>
          <w:bCs/>
          <w:szCs w:val="24"/>
          <w:lang w:eastAsia="it-IT"/>
        </w:rPr>
      </w:pPr>
    </w:p>
    <w:p w:rsidR="00691122" w:rsidRDefault="00691122" w:rsidP="005270AF">
      <w:pPr>
        <w:shd w:val="clear" w:color="auto" w:fill="FFFFFF"/>
        <w:spacing w:after="0" w:line="276" w:lineRule="auto"/>
        <w:rPr>
          <w:b/>
          <w:bCs/>
          <w:szCs w:val="24"/>
        </w:rPr>
      </w:pPr>
    </w:p>
    <w:p w:rsidR="005270AF" w:rsidRDefault="005270AF" w:rsidP="005270AF">
      <w:pPr>
        <w:shd w:val="clear" w:color="auto" w:fill="FFFFFF"/>
        <w:spacing w:after="0" w:line="276" w:lineRule="auto"/>
        <w:rPr>
          <w:b/>
          <w:szCs w:val="24"/>
        </w:rPr>
      </w:pPr>
      <w:r>
        <w:rPr>
          <w:b/>
          <w:bCs/>
          <w:szCs w:val="24"/>
        </w:rPr>
        <w:t>1.9902</w:t>
      </w:r>
      <w:r>
        <w:rPr>
          <w:szCs w:val="24"/>
        </w:rPr>
        <w:t xml:space="preserve"> </w:t>
      </w:r>
      <w:r>
        <w:rPr>
          <w:b/>
          <w:szCs w:val="24"/>
          <w:highlight w:val="yellow"/>
        </w:rPr>
        <w:t>UNIONE ITALIANA DEI CIECHI E DEGLI IPOVEDENTI</w:t>
      </w:r>
    </w:p>
    <w:p w:rsidR="005270AF" w:rsidRDefault="005270AF" w:rsidP="005270AF">
      <w:pPr>
        <w:shd w:val="clear" w:color="auto" w:fill="FFFFFF"/>
        <w:spacing w:after="0" w:line="276" w:lineRule="auto"/>
        <w:rPr>
          <w:szCs w:val="24"/>
        </w:rPr>
      </w:pPr>
      <w:r>
        <w:rPr>
          <w:szCs w:val="24"/>
        </w:rPr>
        <w:t>IL RELATORE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szCs w:val="24"/>
        </w:rPr>
      </w:pPr>
      <w:r>
        <w:rPr>
          <w:i/>
          <w:iCs/>
          <w:szCs w:val="24"/>
        </w:rPr>
        <w:t>Dopo il comma 132, inserire il seguente: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szCs w:val="24"/>
        </w:rPr>
      </w:pPr>
      <w:r>
        <w:rPr>
          <w:szCs w:val="24"/>
        </w:rPr>
        <w:lastRenderedPageBreak/>
        <w:t>«132-</w:t>
      </w:r>
      <w:r>
        <w:rPr>
          <w:i/>
          <w:iCs/>
          <w:szCs w:val="24"/>
        </w:rPr>
        <w:t>bis</w:t>
      </w:r>
      <w:r>
        <w:rPr>
          <w:szCs w:val="24"/>
        </w:rPr>
        <w:t>. E' autorizzata la spesa di 6,5 milioni di euro annui a decorrere dall'anno 2015 da assegnare all'Unione italiana dei ciechi e degli ipovedenti di cui alla legge 3 agosto 1998, n. 282, alla legge 12 gennaio 1996, n. 24 e alla legge 23 settembre, n. 379.».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szCs w:val="24"/>
        </w:rPr>
      </w:pPr>
      <w:r>
        <w:rPr>
          <w:i/>
          <w:iCs/>
          <w:szCs w:val="24"/>
        </w:rPr>
        <w:t>Conseguentemente</w:t>
      </w:r>
      <w:r>
        <w:rPr>
          <w:szCs w:val="24"/>
        </w:rPr>
        <w:t>,</w:t>
      </w:r>
    </w:p>
    <w:p w:rsidR="005270AF" w:rsidRDefault="005270AF" w:rsidP="005270AF">
      <w:pPr>
        <w:shd w:val="clear" w:color="auto" w:fill="FFFFFF"/>
        <w:spacing w:after="0" w:line="276" w:lineRule="auto"/>
        <w:jc w:val="both"/>
        <w:rPr>
          <w:szCs w:val="24"/>
        </w:rPr>
      </w:pPr>
      <w:r>
        <w:rPr>
          <w:szCs w:val="24"/>
        </w:rPr>
        <w:t>All'articolo 3, dopo il comma 66, inserire il seguente:" 66-</w:t>
      </w:r>
      <w:r>
        <w:rPr>
          <w:i/>
          <w:iCs/>
          <w:szCs w:val="24"/>
        </w:rPr>
        <w:t>bis</w:t>
      </w:r>
      <w:r>
        <w:rPr>
          <w:szCs w:val="24"/>
        </w:rPr>
        <w:t xml:space="preserve">. L'autorizzazione di spesa di cui all'articolo 10, comma 5, del decreto-legge 29 novembre 2004, n. 282, convertito, con modificazioni, dalla legge 27 dicembre 2004, n. 307, è ridotta di 6,5 milioni di euro a decorrere dall'anno 2015. </w:t>
      </w:r>
    </w:p>
    <w:p w:rsidR="002428F6" w:rsidRDefault="00691122">
      <w:bookmarkStart w:id="0" w:name="_GoBack"/>
      <w:bookmarkEnd w:id="0"/>
    </w:p>
    <w:sectPr w:rsidR="002428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doNotDisplayPageBoundarie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AF"/>
    <w:rsid w:val="005270AF"/>
    <w:rsid w:val="00691122"/>
    <w:rsid w:val="00A77A29"/>
    <w:rsid w:val="00C0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2DD0F-59BE-40A8-B1F9-A64E9C86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70AF"/>
    <w:pPr>
      <w:spacing w:line="25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270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0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to.it/loc/link.asp?leg=17&amp;tipodoc=sanasen&amp;id=29167" TargetMode="External"/><Relationship Id="rId13" Type="http://schemas.openxmlformats.org/officeDocument/2006/relationships/hyperlink" Target="http://www.senato.it/loc/link.asp?leg=17&amp;tipodoc=sanasen&amp;id=29116" TargetMode="External"/><Relationship Id="rId18" Type="http://schemas.openxmlformats.org/officeDocument/2006/relationships/hyperlink" Target="http://www.senato.it/loc/link.asp?leg=17&amp;tipodoc=sanasen&amp;id=29035" TargetMode="External"/><Relationship Id="rId26" Type="http://schemas.openxmlformats.org/officeDocument/2006/relationships/hyperlink" Target="http://www.senato.it/loc/link.asp?leg=17&amp;tipodoc=sanasen&amp;id=29096" TargetMode="External"/><Relationship Id="rId39" Type="http://schemas.openxmlformats.org/officeDocument/2006/relationships/hyperlink" Target="http://www.senato.it/loc/link.asp?leg=17&amp;tipodoc=sanasen&amp;id=2915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enato.it/loc/link.asp?leg=17&amp;tipodoc=sanasen&amp;id=29166" TargetMode="External"/><Relationship Id="rId34" Type="http://schemas.openxmlformats.org/officeDocument/2006/relationships/hyperlink" Target="http://www.senato.it/loc/link.asp?leg=17&amp;tipodoc=sanasen&amp;id=29153" TargetMode="External"/><Relationship Id="rId42" Type="http://schemas.openxmlformats.org/officeDocument/2006/relationships/hyperlink" Target="http://www.senato.it/loc/link.asp?leg=17&amp;tipodoc=sanasen&amp;id=29062" TargetMode="External"/><Relationship Id="rId7" Type="http://schemas.openxmlformats.org/officeDocument/2006/relationships/hyperlink" Target="http://www.senato.it/loc/link.asp?leg=17&amp;tipodoc=sanasen&amp;id=28580" TargetMode="External"/><Relationship Id="rId12" Type="http://schemas.openxmlformats.org/officeDocument/2006/relationships/hyperlink" Target="http://www.senato.it/loc/link.asp?leg=17&amp;tipodoc=sanasen&amp;id=29087" TargetMode="External"/><Relationship Id="rId17" Type="http://schemas.openxmlformats.org/officeDocument/2006/relationships/hyperlink" Target="http://www.senato.it/loc/link.asp?leg=17&amp;tipodoc=sanasen&amp;id=29192" TargetMode="External"/><Relationship Id="rId25" Type="http://schemas.openxmlformats.org/officeDocument/2006/relationships/hyperlink" Target="http://www.senato.it/loc/link.asp?leg=17&amp;tipodoc=sanasen&amp;id=29078" TargetMode="External"/><Relationship Id="rId33" Type="http://schemas.openxmlformats.org/officeDocument/2006/relationships/hyperlink" Target="http://www.senato.it/loc/link.asp?leg=17&amp;tipodoc=sanasen&amp;id=22706" TargetMode="External"/><Relationship Id="rId38" Type="http://schemas.openxmlformats.org/officeDocument/2006/relationships/hyperlink" Target="http://www.senato.it/loc/link.asp?leg=17&amp;tipodoc=sanasen&amp;id=29134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senato.it/loc/link.asp?leg=17&amp;tipodoc=sanasen&amp;id=29113" TargetMode="External"/><Relationship Id="rId20" Type="http://schemas.openxmlformats.org/officeDocument/2006/relationships/hyperlink" Target="http://www.senato.it/loc/link.asp?leg=17&amp;tipodoc=sanasen&amp;id=29162" TargetMode="External"/><Relationship Id="rId29" Type="http://schemas.openxmlformats.org/officeDocument/2006/relationships/hyperlink" Target="http://www.senato.it/loc/link.asp?leg=17&amp;tipodoc=sanasen&amp;id=29119" TargetMode="External"/><Relationship Id="rId41" Type="http://schemas.openxmlformats.org/officeDocument/2006/relationships/hyperlink" Target="http://www.senato.it/loc/link.asp?leg=17&amp;tipodoc=sanasen&amp;id=31042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nato.it/loc/link.asp?leg=17&amp;tipodoc=sanasen&amp;id=26041" TargetMode="External"/><Relationship Id="rId11" Type="http://schemas.openxmlformats.org/officeDocument/2006/relationships/hyperlink" Target="http://www.senato.it/loc/link.asp?leg=17&amp;tipodoc=sanasen&amp;id=29052" TargetMode="External"/><Relationship Id="rId24" Type="http://schemas.openxmlformats.org/officeDocument/2006/relationships/hyperlink" Target="http://www.senato.it/loc/link.asp?leg=17&amp;tipodoc=sanasen&amp;id=29182" TargetMode="External"/><Relationship Id="rId32" Type="http://schemas.openxmlformats.org/officeDocument/2006/relationships/hyperlink" Target="http://www.senato.it/loc/link.asp?leg=17&amp;tipodoc=sanasen&amp;id=29072" TargetMode="External"/><Relationship Id="rId37" Type="http://schemas.openxmlformats.org/officeDocument/2006/relationships/hyperlink" Target="http://www.senato.it/loc/link.asp?leg=17&amp;tipodoc=sanasen&amp;id=29088" TargetMode="External"/><Relationship Id="rId40" Type="http://schemas.openxmlformats.org/officeDocument/2006/relationships/hyperlink" Target="http://www.senato.it/loc/link.asp?leg=17&amp;tipodoc=sanasen&amp;id=2918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www.senato.it/loc/link.asp?leg=17&amp;tipodoc=sanasen&amp;id=29092" TargetMode="External"/><Relationship Id="rId15" Type="http://schemas.openxmlformats.org/officeDocument/2006/relationships/hyperlink" Target="http://www.senato.it/loc/link.asp?leg=17&amp;tipodoc=sanasen&amp;id=29047" TargetMode="External"/><Relationship Id="rId23" Type="http://schemas.openxmlformats.org/officeDocument/2006/relationships/hyperlink" Target="http://www.senato.it/loc/link.asp?leg=17&amp;tipodoc=sanasen&amp;id=30914" TargetMode="External"/><Relationship Id="rId28" Type="http://schemas.openxmlformats.org/officeDocument/2006/relationships/hyperlink" Target="http://www.senato.it/loc/link.asp?leg=17&amp;tipodoc=sanasen&amp;id=29184" TargetMode="External"/><Relationship Id="rId36" Type="http://schemas.openxmlformats.org/officeDocument/2006/relationships/hyperlink" Target="http://www.senato.it/loc/link.asp?leg=17&amp;tipodoc=sanasen&amp;id=25229" TargetMode="External"/><Relationship Id="rId10" Type="http://schemas.openxmlformats.org/officeDocument/2006/relationships/hyperlink" Target="http://www.senato.it/loc/link.asp?leg=17&amp;tipodoc=sanasen&amp;id=29195" TargetMode="External"/><Relationship Id="rId19" Type="http://schemas.openxmlformats.org/officeDocument/2006/relationships/hyperlink" Target="http://www.senato.it/loc/link.asp?leg=17&amp;tipodoc=sanasen&amp;id=29112" TargetMode="External"/><Relationship Id="rId31" Type="http://schemas.openxmlformats.org/officeDocument/2006/relationships/hyperlink" Target="http://www.senato.it/loc/link.asp?leg=17&amp;tipodoc=sanasen&amp;id=29077" TargetMode="External"/><Relationship Id="rId44" Type="http://schemas.openxmlformats.org/officeDocument/2006/relationships/hyperlink" Target="http://www.senato.it/loc/link.asp?leg=17&amp;tipodoc=sanasen&amp;id=16924" TargetMode="External"/><Relationship Id="rId4" Type="http://schemas.openxmlformats.org/officeDocument/2006/relationships/hyperlink" Target="http://www.senato.it/loc/link.asp?leg=17&amp;tipodoc=sanasen&amp;id=29095" TargetMode="External"/><Relationship Id="rId9" Type="http://schemas.openxmlformats.org/officeDocument/2006/relationships/hyperlink" Target="http://www.senato.it/loc/link.asp?leg=17&amp;tipodoc=sanasen&amp;id=29157" TargetMode="External"/><Relationship Id="rId14" Type="http://schemas.openxmlformats.org/officeDocument/2006/relationships/hyperlink" Target="http://www.senato.it/loc/link.asp?leg=17&amp;tipodoc=sanasen&amp;id=22917" TargetMode="External"/><Relationship Id="rId22" Type="http://schemas.openxmlformats.org/officeDocument/2006/relationships/hyperlink" Target="http://www.senato.it/loc/link.asp?leg=17&amp;tipodoc=sanasen&amp;id=29124" TargetMode="External"/><Relationship Id="rId27" Type="http://schemas.openxmlformats.org/officeDocument/2006/relationships/hyperlink" Target="http://www.senato.it/loc/link.asp?leg=17&amp;tipodoc=sanasen&amp;id=25466" TargetMode="External"/><Relationship Id="rId30" Type="http://schemas.openxmlformats.org/officeDocument/2006/relationships/hyperlink" Target="http://www.senato.it/loc/link.asp?leg=17&amp;tipodoc=sanasen&amp;id=29122" TargetMode="External"/><Relationship Id="rId35" Type="http://schemas.openxmlformats.org/officeDocument/2006/relationships/hyperlink" Target="http://www.senato.it/loc/link.asp?leg=17&amp;tipodoc=sanasen&amp;id=29172" TargetMode="External"/><Relationship Id="rId43" Type="http://schemas.openxmlformats.org/officeDocument/2006/relationships/hyperlink" Target="http://www.senato.it/loc/link.asp?leg=17&amp;tipodoc=sanasen&amp;id=2908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6800</Characters>
  <Application>Microsoft Office Word</Application>
  <DocSecurity>0</DocSecurity>
  <Lines>56</Lines>
  <Paragraphs>15</Paragraphs>
  <ScaleCrop>false</ScaleCrop>
  <Company/>
  <LinksUpToDate>false</LinksUpToDate>
  <CharactersWithSpaces>7977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Lepri</dc:creator>
  <cp:keywords/>
  <dc:description/>
  <cp:lastModifiedBy>Stefano Lepri</cp:lastModifiedBy>
  <cp:revision>4</cp:revision>
  <dcterms:created xsi:type="dcterms:W3CDTF">2014-12-19T17:53:00Z</dcterms:created>
  <dcterms:modified xsi:type="dcterms:W3CDTF">2014-12-19T18:10:00Z</dcterms:modified>
</cp:coreProperties>
</file>