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05" w:rsidRPr="001357C3" w:rsidRDefault="00E14105" w:rsidP="00F50634">
      <w:pPr>
        <w:spacing w:before="100" w:beforeAutospacing="1" w:after="100" w:afterAutospacing="1" w:line="240" w:lineRule="auto"/>
        <w:jc w:val="center"/>
      </w:pPr>
      <w:r w:rsidRPr="001357C3">
        <w:t>MOZIONE</w:t>
      </w:r>
    </w:p>
    <w:p w:rsidR="00251EA9" w:rsidRPr="001357C3" w:rsidRDefault="00251EA9" w:rsidP="00F50634">
      <w:pPr>
        <w:spacing w:before="100" w:beforeAutospacing="1" w:after="100" w:afterAutospacing="1" w:line="240" w:lineRule="auto"/>
      </w:pPr>
      <w:r w:rsidRPr="001357C3">
        <w:t>Premesso che:</w:t>
      </w:r>
    </w:p>
    <w:p w:rsidR="00B338AC" w:rsidRPr="001357C3" w:rsidRDefault="00251EA9" w:rsidP="00F50634">
      <w:pPr>
        <w:spacing w:before="100" w:beforeAutospacing="1" w:after="100" w:afterAutospacing="1" w:line="240" w:lineRule="auto"/>
      </w:pPr>
      <w:r w:rsidRPr="001357C3">
        <w:t>per effetto della crisi economica continua a crescere il ricorso agli ammortizzatori sociali: nel primo trimestre dell'anno sono state autorizzate 265 milioni di ore contro i 236,7 milioni del 2012,</w:t>
      </w:r>
      <w:r w:rsidR="00B338AC" w:rsidRPr="001357C3">
        <w:t xml:space="preserve"> con un incremento dell'11,98 per cento;</w:t>
      </w:r>
    </w:p>
    <w:p w:rsidR="00B338AC" w:rsidRPr="001357C3" w:rsidRDefault="00B338AC" w:rsidP="00F50634">
      <w:pPr>
        <w:spacing w:before="100" w:beforeAutospacing="1" w:after="100" w:afterAutospacing="1" w:line="240" w:lineRule="auto"/>
      </w:pPr>
      <w:r w:rsidRPr="001357C3">
        <w:t>i</w:t>
      </w:r>
      <w:r w:rsidR="00251EA9" w:rsidRPr="001357C3">
        <w:t>n particolare</w:t>
      </w:r>
      <w:r w:rsidRPr="001357C3">
        <w:t>,</w:t>
      </w:r>
      <w:r w:rsidR="00251EA9" w:rsidRPr="001357C3">
        <w:t xml:space="preserve"> a marzo 2013 sono state autorizzate 97 milioni di ore di cassa integrazione guadagni che</w:t>
      </w:r>
      <w:r w:rsidRPr="001357C3">
        <w:t>,</w:t>
      </w:r>
      <w:r w:rsidR="00251EA9" w:rsidRPr="001357C3">
        <w:t xml:space="preserve"> rispetto alle 99,7 milioni di ore dello stesso mese del 2012</w:t>
      </w:r>
      <w:r w:rsidRPr="001357C3">
        <w:t>,</w:t>
      </w:r>
      <w:r w:rsidR="00251EA9" w:rsidRPr="001357C3">
        <w:t xml:space="preserve"> equivalgono ad una diminuzione del 2,8</w:t>
      </w:r>
      <w:r w:rsidRPr="001357C3">
        <w:t xml:space="preserve"> per cento;</w:t>
      </w:r>
    </w:p>
    <w:p w:rsidR="00622E1F" w:rsidRPr="001357C3" w:rsidRDefault="00622E1F" w:rsidP="00F50634">
      <w:pPr>
        <w:spacing w:before="100" w:beforeAutospacing="1" w:after="100" w:afterAutospacing="1" w:line="240" w:lineRule="auto"/>
      </w:pPr>
      <w:r w:rsidRPr="001357C3">
        <w:t xml:space="preserve">ad aumentare è sia la cassa integrazione ordinaria, concessa per difficoltà congiunturali, che cresce del 5 per cento rispetto a febbraio </w:t>
      </w:r>
      <w:r w:rsidR="00611545">
        <w:t xml:space="preserve">2013 </w:t>
      </w:r>
      <w:r w:rsidRPr="001357C3">
        <w:t xml:space="preserve">(+19,8 per cento rispetto a marzo 2012), sia la cassa integrazione straordinaria, concessa per i casi di crisi più "strutturali", che in dodici mesi </w:t>
      </w:r>
      <w:r w:rsidR="00407E48" w:rsidRPr="001357C3">
        <w:t xml:space="preserve">è cresciuta </w:t>
      </w:r>
      <w:r w:rsidRPr="001357C3">
        <w:t xml:space="preserve">del 27,8 per cento (+11,1 per cento </w:t>
      </w:r>
      <w:r w:rsidR="00D76F72" w:rsidRPr="001357C3">
        <w:t xml:space="preserve">rispetto a </w:t>
      </w:r>
      <w:r w:rsidRPr="001357C3">
        <w:t>febbraio</w:t>
      </w:r>
      <w:r w:rsidR="00611545">
        <w:t xml:space="preserve"> 2013</w:t>
      </w:r>
      <w:r w:rsidRPr="001357C3">
        <w:t>);</w:t>
      </w:r>
    </w:p>
    <w:p w:rsidR="0017699D" w:rsidRPr="001357C3" w:rsidRDefault="00622E1F" w:rsidP="00F50634">
      <w:pPr>
        <w:spacing w:before="100" w:beforeAutospacing="1" w:after="100" w:afterAutospacing="1" w:line="240" w:lineRule="auto"/>
      </w:pPr>
      <w:r w:rsidRPr="001357C3">
        <w:t xml:space="preserve">per quanto concerne i settori, </w:t>
      </w:r>
      <w:r w:rsidR="0017699D" w:rsidRPr="001357C3">
        <w:t>nell'industria nel</w:t>
      </w:r>
      <w:r w:rsidRPr="001357C3">
        <w:t xml:space="preserve"> primo</w:t>
      </w:r>
      <w:r w:rsidR="0017699D" w:rsidRPr="001357C3">
        <w:t xml:space="preserve"> trimestre </w:t>
      </w:r>
      <w:r w:rsidRPr="001357C3">
        <w:t xml:space="preserve">2013 </w:t>
      </w:r>
      <w:r w:rsidR="0017699D" w:rsidRPr="001357C3">
        <w:t>si è arrivati a 190,3 milioni di ore richieste, con una crescita del 20,74 per cento</w:t>
      </w:r>
      <w:r w:rsidRPr="001357C3">
        <w:t>. N</w:t>
      </w:r>
      <w:r w:rsidR="0017699D" w:rsidRPr="001357C3">
        <w:t>ell'edilizia l'aumento ha superato il 22 per cento</w:t>
      </w:r>
      <w:r w:rsidRPr="001357C3">
        <w:t>, mentre i</w:t>
      </w:r>
      <w:r w:rsidR="0017699D" w:rsidRPr="001357C3">
        <w:t>n controtendenza</w:t>
      </w:r>
      <w:r w:rsidRPr="001357C3">
        <w:t xml:space="preserve"> appaiono</w:t>
      </w:r>
      <w:r w:rsidR="0017699D" w:rsidRPr="001357C3">
        <w:t xml:space="preserve"> il commercio (-20,74 per cento) e l'artigianato (-9,80 per cento);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t>a livello territoriale, a marzo le richieste di cassa integrazione sono salite</w:t>
      </w:r>
      <w:r w:rsidR="00407E48" w:rsidRPr="001357C3">
        <w:t>, rispetto allo scorso mese di febbraio</w:t>
      </w:r>
      <w:r w:rsidR="00634867" w:rsidRPr="001357C3">
        <w:t>,</w:t>
      </w:r>
      <w:r w:rsidRPr="001357C3">
        <w:t xml:space="preserve"> del 19 per cento nel Nord-Ovest e del 46,5 per cento nel Nord-Est, ment</w:t>
      </w:r>
      <w:r w:rsidR="00407E48" w:rsidRPr="001357C3">
        <w:t>r</w:t>
      </w:r>
      <w:r w:rsidRPr="001357C3">
        <w:t>e</w:t>
      </w:r>
      <w:r w:rsidR="00407E48" w:rsidRPr="001357C3">
        <w:t>, rispetto allo stesso mese dell</w:t>
      </w:r>
      <w:r w:rsidR="00634867" w:rsidRPr="001357C3">
        <w:t xml:space="preserve">o </w:t>
      </w:r>
      <w:r w:rsidR="00407E48" w:rsidRPr="001357C3">
        <w:t>scorso anno,</w:t>
      </w:r>
      <w:r w:rsidRPr="001357C3">
        <w:t xml:space="preserve"> l'incremento è rispettivamente del 6,1 per cento e del 24 per cento;</w:t>
      </w:r>
    </w:p>
    <w:p w:rsidR="00107104" w:rsidRPr="001357C3" w:rsidRDefault="0017699D" w:rsidP="00F50634">
      <w:pPr>
        <w:spacing w:before="100" w:beforeAutospacing="1" w:after="100" w:afterAutospacing="1" w:line="240" w:lineRule="auto"/>
      </w:pPr>
      <w:r w:rsidRPr="001357C3">
        <w:t>considerato che: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t xml:space="preserve">un discorso a parte merita la cassa integrazione in deroga che a marzo è aumentata del 147,1 per cento rispetto a febbraio, ma è diminuita del 47,1 per cento </w:t>
      </w:r>
      <w:r w:rsidR="00D76F72" w:rsidRPr="001357C3">
        <w:t xml:space="preserve">rispetto a </w:t>
      </w:r>
      <w:r w:rsidRPr="001357C3">
        <w:t>marzo 2012;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t>i</w:t>
      </w:r>
      <w:r w:rsidR="00487081" w:rsidRPr="001357C3">
        <w:t xml:space="preserve">l forte calo </w:t>
      </w:r>
      <w:r w:rsidR="00407E48" w:rsidRPr="001357C3">
        <w:t>rispetto allo scorso anno</w:t>
      </w:r>
      <w:r w:rsidR="00487081" w:rsidRPr="001357C3">
        <w:t xml:space="preserve"> è imputabile al blocco delle autorizzazioni causato dalla circolare del </w:t>
      </w:r>
      <w:r w:rsidRPr="001357C3">
        <w:t>Ministero</w:t>
      </w:r>
      <w:r w:rsidR="00487081" w:rsidRPr="001357C3">
        <w:t xml:space="preserve"> del </w:t>
      </w:r>
      <w:r w:rsidR="00407E48" w:rsidRPr="001357C3">
        <w:t>l</w:t>
      </w:r>
      <w:r w:rsidR="00487081" w:rsidRPr="001357C3">
        <w:t xml:space="preserve">avoro </w:t>
      </w:r>
      <w:r w:rsidR="00407E48" w:rsidRPr="001357C3">
        <w:t xml:space="preserve">e delle politiche sociali </w:t>
      </w:r>
      <w:r w:rsidR="00487081" w:rsidRPr="001357C3">
        <w:t>che ha congelato i pagamenti delle domande pervenute alla fine del 2012. Con i successivi decreti del</w:t>
      </w:r>
      <w:r w:rsidRPr="001357C3">
        <w:t>la</w:t>
      </w:r>
      <w:r w:rsidR="00487081" w:rsidRPr="001357C3">
        <w:t xml:space="preserve"> </w:t>
      </w:r>
      <w:r w:rsidRPr="001357C3">
        <w:t>M</w:t>
      </w:r>
      <w:r w:rsidR="00487081" w:rsidRPr="001357C3">
        <w:t>inistr</w:t>
      </w:r>
      <w:r w:rsidRPr="001357C3">
        <w:t>a</w:t>
      </w:r>
      <w:r w:rsidR="00487081" w:rsidRPr="001357C3">
        <w:t>, da metà febbraio è iniziato lo sblocco e ciò spiega il forte inc</w:t>
      </w:r>
      <w:r w:rsidRPr="001357C3">
        <w:t>remento congiunturale di marzo;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t>il nodo sembra essere la carenza di risorse disponibili per finanziare la cassa integrazione in deroga;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t>questa lettura è confermata dall'Inps, secondo cui la frenata delle autorizzazioni della cassa integrazione in deroga «non indica un calo delle richieste, ma solo delle risorse utilizzabili»;</w:t>
      </w:r>
    </w:p>
    <w:p w:rsidR="0017699D" w:rsidRPr="001357C3" w:rsidRDefault="0017699D" w:rsidP="00F50634">
      <w:pPr>
        <w:spacing w:before="100" w:beforeAutospacing="1" w:after="100" w:afterAutospacing="1" w:line="240" w:lineRule="auto"/>
      </w:pPr>
      <w:r w:rsidRPr="001357C3">
        <w:lastRenderedPageBreak/>
        <w:t xml:space="preserve">secondo l'Inps, il dato dei primi tre mesi del 2013, confrontato con quello </w:t>
      </w:r>
      <w:r w:rsidR="00407E48" w:rsidRPr="001357C3">
        <w:t>de</w:t>
      </w:r>
      <w:r w:rsidRPr="001357C3">
        <w:t>ll'anno precedente, risente del rallentamento delle autorizzazioni per gli interventi in deroga, «dovuto alla chiusura del gestione relativa al quadriennio 2009-2012 entro il 31 marzo 2013», per cui le risorse</w:t>
      </w:r>
      <w:r w:rsidR="00622E1F" w:rsidRPr="001357C3">
        <w:t>,</w:t>
      </w:r>
      <w:r w:rsidRPr="001357C3">
        <w:t xml:space="preserve"> insufficienti a coprire l'intero 2013</w:t>
      </w:r>
      <w:r w:rsidR="00622E1F" w:rsidRPr="001357C3">
        <w:t>,</w:t>
      </w:r>
      <w:r w:rsidRPr="001357C3">
        <w:t xml:space="preserve"> pesano sulle autorizzazioni concesse a singhiozzo;</w:t>
      </w:r>
    </w:p>
    <w:p w:rsidR="00622E1F" w:rsidRPr="001357C3" w:rsidRDefault="00622E1F" w:rsidP="00F50634">
      <w:pPr>
        <w:spacing w:before="100" w:beforeAutospacing="1" w:after="100" w:afterAutospacing="1" w:line="240" w:lineRule="auto"/>
      </w:pPr>
      <w:r w:rsidRPr="001357C3">
        <w:t>rilevato che:</w:t>
      </w:r>
    </w:p>
    <w:p w:rsidR="006A33D3" w:rsidRPr="001357C3" w:rsidRDefault="006A33D3" w:rsidP="00F50634">
      <w:pPr>
        <w:pStyle w:val="NormaleWeb"/>
        <w:jc w:val="both"/>
      </w:pPr>
      <w:r w:rsidRPr="001357C3">
        <w:t>i</w:t>
      </w:r>
      <w:r w:rsidR="00622E1F" w:rsidRPr="001357C3">
        <w:t>l Presidente della Conferenza delle Regioni</w:t>
      </w:r>
      <w:r w:rsidRPr="001357C3">
        <w:t>, Vasco Errani, ha dichiarato che</w:t>
      </w:r>
      <w:r w:rsidR="00622E1F" w:rsidRPr="001357C3">
        <w:t xml:space="preserve"> </w:t>
      </w:r>
      <w:r w:rsidRPr="001357C3">
        <w:t>«</w:t>
      </w:r>
      <w:r w:rsidR="00622E1F" w:rsidRPr="001357C3">
        <w:t>La situazione relativa alla concessione degli ammortizzatori sociali in deroga per il 2013 desta preoccupazione per l’incremento dell</w:t>
      </w:r>
      <w:r w:rsidR="00D76F72" w:rsidRPr="001357C3">
        <w:t>e</w:t>
      </w:r>
      <w:r w:rsidR="00622E1F" w:rsidRPr="001357C3">
        <w:t xml:space="preserve"> domande presentate. Occorre un intervento tempestivo del Governo per assicurare la copertura finanziaria per tutto il 2013</w:t>
      </w:r>
      <w:r w:rsidRPr="001357C3">
        <w:t>»;</w:t>
      </w:r>
    </w:p>
    <w:p w:rsidR="006A33D3" w:rsidRPr="001357C3" w:rsidRDefault="006A33D3" w:rsidP="00F50634">
      <w:pPr>
        <w:pStyle w:val="NormaleWeb"/>
        <w:jc w:val="both"/>
      </w:pPr>
      <w:r w:rsidRPr="001357C3">
        <w:t xml:space="preserve">la situazione è al limite dell’allarme sociale in molte Regioni italiane: le imprese stanno attraversando una fase particolarmente difficile e molti lavoratori si trovano in circostanze drammatiche, aggravate da una prospettiva che ora, anche rispetto agli </w:t>
      </w:r>
      <w:r w:rsidRPr="001357C3">
        <w:rPr>
          <w:rStyle w:val="Enfasigrassetto"/>
          <w:b w:val="0"/>
        </w:rPr>
        <w:t>ammortizzatori sociali</w:t>
      </w:r>
      <w:r w:rsidRPr="001357C3">
        <w:t>, non offre certezze finanziarie;</w:t>
      </w:r>
    </w:p>
    <w:p w:rsidR="006A33D3" w:rsidRPr="001357C3" w:rsidRDefault="006A33D3" w:rsidP="00F50634">
      <w:pPr>
        <w:pStyle w:val="NormaleWeb"/>
        <w:jc w:val="both"/>
      </w:pPr>
      <w:r w:rsidRPr="001357C3">
        <w:t>l</w:t>
      </w:r>
      <w:r w:rsidR="00622E1F" w:rsidRPr="001357C3">
        <w:t xml:space="preserve">a Conferenza delle Regioni ha </w:t>
      </w:r>
      <w:r w:rsidRPr="001357C3">
        <w:t xml:space="preserve">quindi </w:t>
      </w:r>
      <w:r w:rsidR="00622E1F" w:rsidRPr="001357C3">
        <w:t>ribadito in più occasioni la necessità di rispettare gli accordi sottoscritti che prevedono l’intervento dello Stato nel caso in cui le risorse stanziate si fossero rivelate, nel corso dell’anno, insufficienti</w:t>
      </w:r>
      <w:r w:rsidRPr="001357C3">
        <w:t>;</w:t>
      </w:r>
    </w:p>
    <w:p w:rsidR="006A33D3" w:rsidRPr="001357C3" w:rsidRDefault="001A6592" w:rsidP="00F50634">
      <w:pPr>
        <w:pStyle w:val="NormaleWeb"/>
        <w:jc w:val="both"/>
      </w:pPr>
      <w:r w:rsidRPr="001357C3">
        <w:t xml:space="preserve">l'assessore </w:t>
      </w:r>
      <w:r w:rsidR="00622E1F" w:rsidRPr="001357C3">
        <w:t xml:space="preserve">Gianfranco </w:t>
      </w:r>
      <w:proofErr w:type="spellStart"/>
      <w:r w:rsidR="00622E1F" w:rsidRPr="001357C3">
        <w:t>Simoncini</w:t>
      </w:r>
      <w:proofErr w:type="spellEnd"/>
      <w:r w:rsidR="006A33D3" w:rsidRPr="001357C3">
        <w:t>, c</w:t>
      </w:r>
      <w:r w:rsidR="00622E1F" w:rsidRPr="001357C3">
        <w:t>oordinatore della materia nell’ambito della Commissione lavoro, istruzione e formazione</w:t>
      </w:r>
      <w:r w:rsidR="006A33D3" w:rsidRPr="001357C3">
        <w:t>,</w:t>
      </w:r>
      <w:r w:rsidR="00622E1F" w:rsidRPr="001357C3">
        <w:t xml:space="preserve"> </w:t>
      </w:r>
      <w:r w:rsidR="006A33D3" w:rsidRPr="001357C3">
        <w:t>in una</w:t>
      </w:r>
      <w:r w:rsidR="00622E1F" w:rsidRPr="001357C3">
        <w:t xml:space="preserve"> lettera inviata al</w:t>
      </w:r>
      <w:r w:rsidR="006A33D3" w:rsidRPr="001357C3">
        <w:t>la</w:t>
      </w:r>
      <w:r w:rsidR="00622E1F" w:rsidRPr="001357C3">
        <w:t xml:space="preserve"> Ministr</w:t>
      </w:r>
      <w:r w:rsidR="006A33D3" w:rsidRPr="001357C3">
        <w:t>a</w:t>
      </w:r>
      <w:r w:rsidR="00622E1F" w:rsidRPr="001357C3">
        <w:t xml:space="preserve"> del </w:t>
      </w:r>
      <w:r w:rsidR="00407E48" w:rsidRPr="001357C3">
        <w:t>l</w:t>
      </w:r>
      <w:r w:rsidR="00622E1F" w:rsidRPr="001357C3">
        <w:t xml:space="preserve">avoro </w:t>
      </w:r>
      <w:r w:rsidR="00407E48" w:rsidRPr="001357C3">
        <w:t xml:space="preserve">e delle politiche sociali </w:t>
      </w:r>
      <w:r w:rsidR="00622E1F" w:rsidRPr="001357C3">
        <w:t xml:space="preserve">ha </w:t>
      </w:r>
      <w:r w:rsidR="006A33D3" w:rsidRPr="001357C3">
        <w:t>dichiarato che «</w:t>
      </w:r>
      <w:r w:rsidR="00622E1F" w:rsidRPr="001357C3">
        <w:t>Con le risorse oggetto della decretazione in corso, si può ipotizzare che la copertura attuale consentirebbe di garantire autorizzazioni nella migliore delle ipotesi fino a giugno</w:t>
      </w:r>
      <w:r w:rsidR="006A33D3" w:rsidRPr="001357C3">
        <w:t>»;</w:t>
      </w:r>
    </w:p>
    <w:p w:rsidR="003741A6" w:rsidRPr="001357C3" w:rsidRDefault="00151473" w:rsidP="00F50634">
      <w:pPr>
        <w:pStyle w:val="NormaleWeb"/>
        <w:jc w:val="both"/>
      </w:pPr>
      <w:r w:rsidRPr="001357C3">
        <w:t xml:space="preserve">infatti, </w:t>
      </w:r>
      <w:r w:rsidR="00F95712" w:rsidRPr="001357C3">
        <w:t xml:space="preserve">a causa </w:t>
      </w:r>
      <w:r w:rsidR="003741A6" w:rsidRPr="001357C3">
        <w:t>di un aumento costante degli ammortizzatori in deroga - passati da 773 milioni di euro nel 200</w:t>
      </w:r>
      <w:r w:rsidR="00F95712" w:rsidRPr="001357C3">
        <w:t>,</w:t>
      </w:r>
      <w:r w:rsidR="003741A6" w:rsidRPr="001357C3">
        <w:t>9 a 1.500 milioni di euro nel 2010 e a 1.600 milioni di euro nel 2011 - nel 2012 si presuppone di raggiungere una spesa complessiva superiore a 2.200 milioni di euro;</w:t>
      </w:r>
    </w:p>
    <w:p w:rsidR="006A33D3" w:rsidRPr="001357C3" w:rsidRDefault="003741A6" w:rsidP="00F50634">
      <w:pPr>
        <w:pStyle w:val="NormaleWeb"/>
        <w:jc w:val="both"/>
      </w:pPr>
      <w:r w:rsidRPr="001357C3">
        <w:t>pertanto, i</w:t>
      </w:r>
      <w:r w:rsidR="006A33D3" w:rsidRPr="001357C3">
        <w:t xml:space="preserve">n considerazione del persistere della crisi dell'apparato produttivo del Paese, </w:t>
      </w:r>
      <w:r w:rsidRPr="001357C3">
        <w:t>nonostante</w:t>
      </w:r>
      <w:r w:rsidR="006A33D3" w:rsidRPr="001357C3">
        <w:t xml:space="preserve"> le misure di contenimento dell'uso dello strumento già messe in atto da parte di molte Regioni, i forti incrementi registrati nel primo </w:t>
      </w:r>
      <w:r w:rsidRPr="001357C3">
        <w:t>trimestre</w:t>
      </w:r>
      <w:r w:rsidR="006A33D3" w:rsidRPr="001357C3">
        <w:t xml:space="preserve"> dell'anno in corso portano a </w:t>
      </w:r>
      <w:r w:rsidRPr="001357C3">
        <w:t>prevedere</w:t>
      </w:r>
      <w:r w:rsidR="006A33D3" w:rsidRPr="001357C3">
        <w:t xml:space="preserve"> un ulteriore significativo aumento dell'utilizzo della deroga che, secondo Simoncini, «anche ipotizzando un miglioramento complessivo della situazione economica, ad oggi del tutto incerto, </w:t>
      </w:r>
      <w:r w:rsidRPr="001357C3">
        <w:t>nella più prudenziale delle ipotesi sembra impossibile possa essere inferiore ad almeno il 25 per cento in più rispetto all'anno precedente, ovvero 2,750 miliardi di euro complessivi»;</w:t>
      </w:r>
    </w:p>
    <w:p w:rsidR="003741A6" w:rsidRPr="001357C3" w:rsidRDefault="003741A6" w:rsidP="00F50634">
      <w:pPr>
        <w:pStyle w:val="NormaleWeb"/>
        <w:jc w:val="both"/>
      </w:pPr>
      <w:r w:rsidRPr="001357C3">
        <w:t>si tratta di una stima basata sull'andamento storico della spesa, applicando una significativa riduzione rispetto al picco di richieste pervenute negli ultimi tre mesi che sono state anche del 40-60 per cento in più rispetto al trimestre dell'annualità precedente;</w:t>
      </w:r>
    </w:p>
    <w:p w:rsidR="001A6592" w:rsidRPr="001357C3" w:rsidRDefault="001A6592" w:rsidP="001A6592">
      <w:pPr>
        <w:pStyle w:val="NormaleWeb"/>
        <w:jc w:val="both"/>
      </w:pPr>
      <w:r w:rsidRPr="001357C3">
        <w:rPr>
          <w:bCs/>
        </w:rPr>
        <w:lastRenderedPageBreak/>
        <w:t xml:space="preserve">non sono ancora noti i dati definitivi delle richieste e delle conseguenti necessarie coperture per la cassa integrazione in deroga relative al 2012, rispetto alle quali l'eventuale </w:t>
      </w:r>
      <w:proofErr w:type="spellStart"/>
      <w:r w:rsidRPr="001357C3">
        <w:rPr>
          <w:bCs/>
        </w:rPr>
        <w:t>incapienza</w:t>
      </w:r>
      <w:proofErr w:type="spellEnd"/>
      <w:r w:rsidRPr="001357C3">
        <w:rPr>
          <w:bCs/>
        </w:rPr>
        <w:t xml:space="preserve"> dei fondi stanziati aggraverebbe il quadro allarmante che si prospetta per il 2013; </w:t>
      </w:r>
    </w:p>
    <w:p w:rsidR="003741A6" w:rsidRPr="001357C3" w:rsidRDefault="00B72A0E" w:rsidP="00F50634">
      <w:pPr>
        <w:pStyle w:val="NormaleWeb"/>
        <w:jc w:val="both"/>
      </w:pPr>
      <w:r w:rsidRPr="001357C3">
        <w:t>valutato che:</w:t>
      </w:r>
    </w:p>
    <w:p w:rsidR="00B72A0E" w:rsidRPr="001357C3" w:rsidRDefault="00B72A0E" w:rsidP="00F50634">
      <w:pPr>
        <w:spacing w:before="100" w:beforeAutospacing="1" w:after="100" w:afterAutospacing="1" w:line="240" w:lineRule="auto"/>
        <w:rPr>
          <w:rFonts w:eastAsia="Times New Roman"/>
          <w:lang w:eastAsia="it-IT"/>
        </w:rPr>
      </w:pPr>
      <w:r w:rsidRPr="001357C3">
        <w:rPr>
          <w:rFonts w:eastAsia="Times New Roman"/>
          <w:lang w:eastAsia="it-IT"/>
        </w:rPr>
        <w:t xml:space="preserve">la legge 24 dicembre 2012, n. 228 </w:t>
      </w:r>
      <w:r w:rsidR="00F95712" w:rsidRPr="001357C3">
        <w:rPr>
          <w:rFonts w:eastAsia="Times New Roman"/>
          <w:lang w:eastAsia="it-IT"/>
        </w:rPr>
        <w:t>(</w:t>
      </w:r>
      <w:r w:rsidRPr="001357C3">
        <w:rPr>
          <w:rFonts w:eastAsia="Times New Roman"/>
          <w:lang w:eastAsia="it-IT"/>
        </w:rPr>
        <w:t>c.d. legge di stabilità 2013</w:t>
      </w:r>
      <w:r w:rsidR="00F95712" w:rsidRPr="001357C3">
        <w:rPr>
          <w:rFonts w:eastAsia="Times New Roman"/>
          <w:lang w:eastAsia="it-IT"/>
        </w:rPr>
        <w:t>)</w:t>
      </w:r>
      <w:r w:rsidRPr="001357C3">
        <w:rPr>
          <w:rFonts w:eastAsia="Times New Roman"/>
          <w:lang w:eastAsia="it-IT"/>
        </w:rPr>
        <w:t xml:space="preserve">, all'articolo 1, comma 253, ha previsto la possibilità di finanziare gli </w:t>
      </w:r>
      <w:r w:rsidRPr="001357C3">
        <w:rPr>
          <w:rFonts w:eastAsia="Times New Roman"/>
          <w:bCs/>
          <w:lang w:eastAsia="it-IT"/>
        </w:rPr>
        <w:t>ammortizzatori sociali in deroga nelle Regioni</w:t>
      </w:r>
      <w:r w:rsidRPr="001357C3">
        <w:rPr>
          <w:rFonts w:eastAsia="Times New Roman"/>
          <w:lang w:eastAsia="it-IT"/>
        </w:rPr>
        <w:t>, in relazione a misure di politica attiva e ad azioni innovative e sperimentali di tutela dell'occupazione, attraverso la riprogrammazione dei programmi cofinanziati dai Fondi strutturali 2007/2013 oggetto del Piano di Azione e Coesione;</w:t>
      </w:r>
    </w:p>
    <w:p w:rsidR="001A6592" w:rsidRPr="001357C3" w:rsidRDefault="00B72A0E" w:rsidP="00F50634">
      <w:pPr>
        <w:spacing w:before="100" w:beforeAutospacing="1" w:after="100" w:afterAutospacing="1" w:line="240" w:lineRule="auto"/>
        <w:rPr>
          <w:bCs/>
        </w:rPr>
      </w:pPr>
      <w:r w:rsidRPr="001357C3">
        <w:rPr>
          <w:rFonts w:eastAsia="Times New Roman"/>
          <w:lang w:eastAsia="it-IT"/>
        </w:rPr>
        <w:t xml:space="preserve">a riguardo, il </w:t>
      </w:r>
      <w:r w:rsidRPr="001357C3">
        <w:rPr>
          <w:rFonts w:eastAsia="Times New Roman"/>
          <w:bCs/>
          <w:lang w:eastAsia="it-IT"/>
        </w:rPr>
        <w:t xml:space="preserve">Fondo </w:t>
      </w:r>
      <w:r w:rsidR="00D76F72" w:rsidRPr="001357C3">
        <w:rPr>
          <w:rFonts w:eastAsia="Times New Roman"/>
          <w:bCs/>
          <w:lang w:eastAsia="it-IT"/>
        </w:rPr>
        <w:t>s</w:t>
      </w:r>
      <w:r w:rsidRPr="001357C3">
        <w:rPr>
          <w:rFonts w:eastAsia="Times New Roman"/>
          <w:bCs/>
          <w:lang w:eastAsia="it-IT"/>
        </w:rPr>
        <w:t>ociale per l'occupazione e la formazione</w:t>
      </w:r>
      <w:r w:rsidRPr="001357C3">
        <w:rPr>
          <w:rFonts w:eastAsia="Times New Roman"/>
          <w:lang w:eastAsia="it-IT"/>
        </w:rPr>
        <w:t xml:space="preserve"> di cui all'articolo 18, comma 1, lettera </w:t>
      </w:r>
      <w:r w:rsidRPr="001357C3">
        <w:rPr>
          <w:rFonts w:eastAsia="Times New Roman"/>
          <w:i/>
          <w:iCs/>
          <w:lang w:eastAsia="it-IT"/>
        </w:rPr>
        <w:t>a)</w:t>
      </w:r>
      <w:r w:rsidRPr="001357C3">
        <w:rPr>
          <w:rFonts w:eastAsia="Times New Roman"/>
          <w:lang w:eastAsia="it-IT"/>
        </w:rPr>
        <w:t xml:space="preserve">, del </w:t>
      </w:r>
      <w:r w:rsidRPr="001357C3">
        <w:rPr>
          <w:rFonts w:eastAsia="Times New Roman"/>
          <w:bCs/>
          <w:lang w:eastAsia="it-IT"/>
        </w:rPr>
        <w:t xml:space="preserve">decreto-legge 29 novembre 2008, n. 185, </w:t>
      </w:r>
      <w:r w:rsidRPr="001357C3">
        <w:rPr>
          <w:rFonts w:eastAsia="Times New Roman"/>
          <w:lang w:eastAsia="it-IT"/>
        </w:rPr>
        <w:t xml:space="preserve">convertito, con modificazioni, dalla legge 28 gennaio 2009, n. 2, è stato </w:t>
      </w:r>
      <w:r w:rsidRPr="001357C3">
        <w:rPr>
          <w:rFonts w:eastAsia="Times New Roman"/>
          <w:bCs/>
          <w:lang w:eastAsia="it-IT"/>
        </w:rPr>
        <w:t>incrementato, per il 2013</w:t>
      </w:r>
      <w:r w:rsidRPr="001357C3">
        <w:rPr>
          <w:rFonts w:eastAsia="Times New Roman"/>
          <w:lang w:eastAsia="it-IT"/>
        </w:rPr>
        <w:t xml:space="preserve">, della parte di risorse relative </w:t>
      </w:r>
      <w:r w:rsidR="001A6592" w:rsidRPr="001357C3">
        <w:t xml:space="preserve">al </w:t>
      </w:r>
      <w:r w:rsidR="001A6592" w:rsidRPr="001357C3">
        <w:rPr>
          <w:bCs/>
        </w:rPr>
        <w:t>finanziamento degli ammortizzatori sociali in deroga nelle Regioni destinatarie FSE;</w:t>
      </w:r>
    </w:p>
    <w:p w:rsidR="00B72A0E" w:rsidRPr="001357C3" w:rsidRDefault="00B72A0E" w:rsidP="00F50634">
      <w:pPr>
        <w:spacing w:before="100" w:beforeAutospacing="1" w:after="100" w:afterAutospacing="1" w:line="240" w:lineRule="auto"/>
        <w:rPr>
          <w:rFonts w:eastAsia="Times New Roman"/>
          <w:lang w:eastAsia="it-IT"/>
        </w:rPr>
      </w:pPr>
      <w:r w:rsidRPr="001357C3">
        <w:rPr>
          <w:rFonts w:eastAsia="Times New Roman"/>
          <w:lang w:eastAsia="it-IT"/>
        </w:rPr>
        <w:t xml:space="preserve">in considerazione del perdurare della crisi occupazionale e dell’esigenza di assicurare adeguate risorse per gli interventi di ammortizzatori sociali in deroga a tutela del reddito dei lavoratori, in una logica di condivisione solidale fra istituzioni centrali, territoriali e parti sociali, in aggiunta a quanto previsto dall'articolo 2, comma 65, della legge 28 giugno 2012, n. 92, il </w:t>
      </w:r>
      <w:r w:rsidRPr="001357C3">
        <w:rPr>
          <w:rFonts w:eastAsia="Times New Roman"/>
          <w:bCs/>
          <w:lang w:eastAsia="it-IT"/>
        </w:rPr>
        <w:t xml:space="preserve">comma 254 dell'articolo 1 della legge di stabilità 2013 </w:t>
      </w:r>
      <w:r w:rsidR="00E82951" w:rsidRPr="001357C3">
        <w:rPr>
          <w:rFonts w:eastAsia="Times New Roman"/>
          <w:bCs/>
          <w:lang w:eastAsia="it-IT"/>
        </w:rPr>
        <w:t>prevede un incremento del</w:t>
      </w:r>
      <w:r w:rsidRPr="001357C3">
        <w:rPr>
          <w:rFonts w:eastAsia="Times New Roman"/>
          <w:bCs/>
          <w:lang w:eastAsia="it-IT"/>
        </w:rPr>
        <w:t xml:space="preserve"> Fondo sociale per l’occupazione e </w:t>
      </w:r>
      <w:r w:rsidR="00D76F72" w:rsidRPr="001357C3">
        <w:rPr>
          <w:rFonts w:eastAsia="Times New Roman"/>
          <w:bCs/>
          <w:lang w:eastAsia="it-IT"/>
        </w:rPr>
        <w:t xml:space="preserve">la </w:t>
      </w:r>
      <w:r w:rsidRPr="001357C3">
        <w:rPr>
          <w:rFonts w:eastAsia="Times New Roman"/>
          <w:bCs/>
          <w:lang w:eastAsia="it-IT"/>
        </w:rPr>
        <w:t>formazione</w:t>
      </w:r>
      <w:r w:rsidRPr="001357C3">
        <w:rPr>
          <w:rFonts w:eastAsia="Times New Roman"/>
          <w:lang w:eastAsia="it-IT"/>
        </w:rPr>
        <w:t xml:space="preserve"> di </w:t>
      </w:r>
      <w:r w:rsidRPr="001357C3">
        <w:rPr>
          <w:rFonts w:eastAsia="Times New Roman"/>
          <w:bCs/>
          <w:lang w:eastAsia="it-IT"/>
        </w:rPr>
        <w:t>200 milioni di euro per il 2013</w:t>
      </w:r>
      <w:r w:rsidRPr="001357C3">
        <w:rPr>
          <w:rFonts w:eastAsia="Times New Roman"/>
          <w:lang w:eastAsia="it-IT"/>
        </w:rPr>
        <w:t xml:space="preserve">, per la cui copertura è prevista la </w:t>
      </w:r>
      <w:r w:rsidRPr="001357C3">
        <w:rPr>
          <w:rFonts w:eastAsia="Times New Roman"/>
          <w:bCs/>
          <w:lang w:eastAsia="it-IT"/>
        </w:rPr>
        <w:t>riduzione del Fondo per lo sgravio contributivo dei contratti di produttività</w:t>
      </w:r>
      <w:r w:rsidRPr="001357C3">
        <w:rPr>
          <w:rFonts w:eastAsia="Times New Roman"/>
          <w:lang w:eastAsia="it-IT"/>
        </w:rPr>
        <w:t xml:space="preserve"> (di cui all'ultimo periodo dell'articolo 1, comma 68, della legge 24 dicembre 2007, n. 247) per un importo di 118 milioni di euro per il 2013;</w:t>
      </w:r>
    </w:p>
    <w:p w:rsidR="00B72A0E" w:rsidRPr="001357C3" w:rsidRDefault="00B72A0E" w:rsidP="00F50634">
      <w:pPr>
        <w:spacing w:before="100" w:beforeAutospacing="1" w:after="100" w:afterAutospacing="1" w:line="240" w:lineRule="auto"/>
        <w:rPr>
          <w:rFonts w:eastAsia="Times New Roman"/>
          <w:lang w:eastAsia="it-IT"/>
        </w:rPr>
      </w:pPr>
      <w:r w:rsidRPr="001357C3">
        <w:rPr>
          <w:rFonts w:eastAsia="Times New Roman"/>
          <w:lang w:eastAsia="it-IT"/>
        </w:rPr>
        <w:t xml:space="preserve">il </w:t>
      </w:r>
      <w:r w:rsidRPr="001357C3">
        <w:rPr>
          <w:rFonts w:eastAsia="Times New Roman"/>
          <w:bCs/>
          <w:lang w:eastAsia="it-IT"/>
        </w:rPr>
        <w:t>comma 255 dell'articolo 1 della legge di stabilità 2013</w:t>
      </w:r>
      <w:r w:rsidRPr="001357C3">
        <w:rPr>
          <w:rFonts w:eastAsia="Times New Roman"/>
          <w:lang w:eastAsia="it-IT"/>
        </w:rPr>
        <w:t>, infine, prevede l’</w:t>
      </w:r>
      <w:r w:rsidRPr="001357C3">
        <w:rPr>
          <w:rFonts w:eastAsia="Times New Roman"/>
          <w:bCs/>
          <w:lang w:eastAsia="it-IT"/>
        </w:rPr>
        <w:t>obbligo</w:t>
      </w:r>
      <w:r w:rsidRPr="001357C3">
        <w:rPr>
          <w:rFonts w:eastAsia="Times New Roman"/>
          <w:lang w:eastAsia="it-IT"/>
        </w:rPr>
        <w:t xml:space="preserve">, per il Ministero del lavoro e delle politiche sociali, di convocare le organizzazioni sindacali dei datori di lavoro e dei lavoratori comparativamente più rappresentative sul piano nazionale, nel caso in cui, </w:t>
      </w:r>
      <w:r w:rsidRPr="001357C3">
        <w:rPr>
          <w:rFonts w:eastAsia="Times New Roman"/>
          <w:bCs/>
          <w:lang w:eastAsia="it-IT"/>
        </w:rPr>
        <w:t>entro il 30 aprile 2013,</w:t>
      </w:r>
      <w:r w:rsidRPr="001357C3">
        <w:rPr>
          <w:rFonts w:eastAsia="Times New Roman"/>
          <w:lang w:eastAsia="it-IT"/>
        </w:rPr>
        <w:t xml:space="preserve"> dal monitoraggio dell'andamento degli ammortizzatori sociali in deroga e delle relative esigenze di intervento emerga l’insufficienza degli interventi finanziari richiamati in precedenza, al fine di individuare ulteriori interventi. Sentite tali organizzazioni sindacali, il Ministro del lavoro e delle politiche sociali, con specifico decreto interministeriale, può quindi disporre, in via eccezionale, che le </w:t>
      </w:r>
      <w:r w:rsidRPr="001357C3">
        <w:rPr>
          <w:rFonts w:eastAsia="Times New Roman"/>
          <w:bCs/>
          <w:lang w:eastAsia="it-IT"/>
        </w:rPr>
        <w:t>risorse derivanti dal 50 per cento</w:t>
      </w:r>
      <w:r w:rsidRPr="001357C3">
        <w:rPr>
          <w:rFonts w:eastAsia="Times New Roman"/>
          <w:lang w:eastAsia="it-IT"/>
        </w:rPr>
        <w:t xml:space="preserve"> dell'aumento contributivo dovuto per l'assicurazione obbligatoria contro la disoccupazione involontaria dello 0,30 per cento, di cui all'articolo 25, quarto comma, della legge 21 dicembre 1978, n. 845, </w:t>
      </w:r>
      <w:r w:rsidRPr="001357C3">
        <w:rPr>
          <w:rFonts w:eastAsia="Times New Roman"/>
          <w:bCs/>
          <w:lang w:eastAsia="it-IT"/>
        </w:rPr>
        <w:t>siano versate</w:t>
      </w:r>
      <w:r w:rsidRPr="001357C3">
        <w:rPr>
          <w:rFonts w:eastAsia="Times New Roman"/>
          <w:lang w:eastAsia="it-IT"/>
        </w:rPr>
        <w:t xml:space="preserve"> </w:t>
      </w:r>
      <w:r w:rsidR="00E14105" w:rsidRPr="001357C3">
        <w:rPr>
          <w:rFonts w:eastAsia="Times New Roman"/>
          <w:lang w:eastAsia="it-IT"/>
        </w:rPr>
        <w:t xml:space="preserve">dall'Inps </w:t>
      </w:r>
      <w:r w:rsidRPr="001357C3">
        <w:rPr>
          <w:rFonts w:eastAsia="Times New Roman"/>
          <w:lang w:eastAsia="it-IT"/>
        </w:rPr>
        <w:t>al bilancio dello Stato per la successiva riassegnazione al Fondo sociale per l'occupazione e la formazione, ai fini del finanziamento degli ammortizzatori sociali in deroga di cui all'articolo 2, commi 64, 65 e 66 della legge 28 giugno 2012, n. 92;</w:t>
      </w:r>
    </w:p>
    <w:p w:rsidR="00B72A0E" w:rsidRPr="001357C3" w:rsidRDefault="003B307C" w:rsidP="00F50634">
      <w:pPr>
        <w:spacing w:before="100" w:beforeAutospacing="1" w:after="100" w:afterAutospacing="1" w:line="240" w:lineRule="auto"/>
        <w:rPr>
          <w:rFonts w:eastAsia="Times New Roman"/>
          <w:lang w:eastAsia="it-IT"/>
        </w:rPr>
      </w:pPr>
      <w:r w:rsidRPr="001357C3">
        <w:rPr>
          <w:rFonts w:eastAsia="Times New Roman"/>
          <w:lang w:eastAsia="it-IT"/>
        </w:rPr>
        <w:t>valutato inoltre che:</w:t>
      </w:r>
    </w:p>
    <w:p w:rsidR="003B307C" w:rsidRPr="001357C3" w:rsidRDefault="003B307C" w:rsidP="00F50634">
      <w:pPr>
        <w:spacing w:before="100" w:beforeAutospacing="1" w:after="100" w:afterAutospacing="1" w:line="240" w:lineRule="auto"/>
      </w:pPr>
      <w:r w:rsidRPr="001357C3">
        <w:rPr>
          <w:rFonts w:eastAsia="Times New Roman"/>
          <w:lang w:eastAsia="it-IT"/>
        </w:rPr>
        <w:lastRenderedPageBreak/>
        <w:t xml:space="preserve">la possibilità di ricorrere ad una misura come quella degli </w:t>
      </w:r>
      <w:r w:rsidRPr="001357C3">
        <w:t>ammortizzatori sociali in deroga rappresenta uno strumento indispensabile di supporto alle imprese e di sostegno al reddito dei lavoratori nel corso della crisi economica che, purtroppo, non è ancora superata;</w:t>
      </w:r>
    </w:p>
    <w:p w:rsidR="00421A25" w:rsidRPr="001357C3" w:rsidRDefault="003B307C" w:rsidP="00F50634">
      <w:pPr>
        <w:spacing w:before="100" w:beforeAutospacing="1" w:after="100" w:afterAutospacing="1" w:line="240" w:lineRule="auto"/>
      </w:pPr>
      <w:r w:rsidRPr="001357C3">
        <w:t xml:space="preserve">la legge di stabilità </w:t>
      </w:r>
      <w:r w:rsidR="00BC6A55" w:rsidRPr="001357C3">
        <w:rPr>
          <w:bCs/>
        </w:rPr>
        <w:t>ha previsto che, in via subordinata</w:t>
      </w:r>
      <w:r w:rsidR="00BC6A55" w:rsidRPr="001357C3">
        <w:t xml:space="preserve">, </w:t>
      </w:r>
      <w:r w:rsidR="00BC6A55" w:rsidRPr="001357C3">
        <w:rPr>
          <w:bCs/>
        </w:rPr>
        <w:t>nell’ipotesi in cui le risorse stanziate si rivelassero insufficienti, si possa</w:t>
      </w:r>
      <w:r w:rsidR="00BC6A55" w:rsidRPr="001357C3">
        <w:t xml:space="preserve"> </w:t>
      </w:r>
      <w:r w:rsidR="00CC1E19" w:rsidRPr="001357C3">
        <w:t xml:space="preserve">utilizzare </w:t>
      </w:r>
      <w:r w:rsidR="00421A25" w:rsidRPr="001357C3">
        <w:t xml:space="preserve">parte delle risorse necessarie </w:t>
      </w:r>
      <w:r w:rsidR="00CC1E19" w:rsidRPr="001357C3">
        <w:t>per la</w:t>
      </w:r>
      <w:r w:rsidR="00421A25" w:rsidRPr="001357C3">
        <w:t xml:space="preserve"> copertura di nuovi interventi di sostegno al reddito dei lavoratori dal Fondo di rotazione per la formazione professionale;</w:t>
      </w:r>
    </w:p>
    <w:p w:rsidR="00421A25" w:rsidRPr="001357C3" w:rsidRDefault="00421A25" w:rsidP="00F50634">
      <w:pPr>
        <w:spacing w:before="100" w:beforeAutospacing="1" w:after="100" w:afterAutospacing="1" w:line="240" w:lineRule="auto"/>
      </w:pPr>
      <w:r w:rsidRPr="001357C3">
        <w:t xml:space="preserve">si tratta quindi del contributivo integrativo dello 0,30 per cento </w:t>
      </w:r>
      <w:r w:rsidRPr="001357C3">
        <w:rPr>
          <w:rStyle w:val="Enfasigrassetto"/>
          <w:b w:val="0"/>
        </w:rPr>
        <w:t xml:space="preserve">che le imprese versano, per il tramite dell’Inps, </w:t>
      </w:r>
      <w:r w:rsidRPr="001357C3">
        <w:t>alla formazione continua attraverso i Fondi Interprofessionali</w:t>
      </w:r>
      <w:r w:rsidRPr="001357C3">
        <w:rPr>
          <w:rStyle w:val="Enfasigrassetto"/>
          <w:b w:val="0"/>
        </w:rPr>
        <w:t xml:space="preserve">: </w:t>
      </w:r>
      <w:r w:rsidRPr="001357C3">
        <w:t>vale a dire la metà delle risorse su cui le imprese possono attualmente contare per finanziare</w:t>
      </w:r>
      <w:r w:rsidR="00E14105" w:rsidRPr="001357C3">
        <w:t>,</w:t>
      </w:r>
      <w:r w:rsidRPr="001357C3">
        <w:t xml:space="preserve"> con gli enti bilaterali</w:t>
      </w:r>
      <w:r w:rsidR="00E14105" w:rsidRPr="001357C3">
        <w:t>,</w:t>
      </w:r>
      <w:r w:rsidRPr="001357C3">
        <w:t xml:space="preserve"> i percorsi di formazione e</w:t>
      </w:r>
      <w:r w:rsidR="00E14105" w:rsidRPr="001357C3">
        <w:t xml:space="preserve"> riqualificazione professionale; </w:t>
      </w:r>
    </w:p>
    <w:p w:rsidR="00BC6A55" w:rsidRPr="001357C3" w:rsidRDefault="00BC6A55" w:rsidP="00BC6A55">
      <w:pPr>
        <w:spacing w:before="100" w:beforeAutospacing="1" w:after="100" w:afterAutospacing="1" w:line="240" w:lineRule="auto"/>
      </w:pPr>
      <w:r w:rsidRPr="001357C3">
        <w:rPr>
          <w:bCs/>
        </w:rPr>
        <w:t xml:space="preserve">é evidente l'effetto limitativo che questa misura determina sul finanziamento degli interventi di formazione e la conseguente limitazione di uno degli strumenti fondamentali della riforma del mercato del lavoro (legge 28 giugno 2012, n. 92) che proprio sulla formazione ha puntato per garantire la </w:t>
      </w:r>
      <w:proofErr w:type="spellStart"/>
      <w:r w:rsidRPr="001357C3">
        <w:rPr>
          <w:bCs/>
        </w:rPr>
        <w:t>rioccupabilità</w:t>
      </w:r>
      <w:proofErr w:type="spellEnd"/>
      <w:r w:rsidRPr="001357C3">
        <w:rPr>
          <w:bCs/>
        </w:rPr>
        <w:t xml:space="preserve"> dei lavoratori espulsi dal mercato;</w:t>
      </w:r>
    </w:p>
    <w:p w:rsidR="00E07AD7" w:rsidRPr="001357C3" w:rsidRDefault="00E14105" w:rsidP="00F50634">
      <w:pPr>
        <w:spacing w:before="100" w:beforeAutospacing="1" w:after="100" w:afterAutospacing="1" w:line="240" w:lineRule="auto"/>
      </w:pPr>
      <w:r w:rsidRPr="001357C3">
        <w:t xml:space="preserve">allo stesso tempo, </w:t>
      </w:r>
      <w:r w:rsidR="00E07AD7" w:rsidRPr="001357C3">
        <w:t>procedendo con il prelievo dai fondi bilaterali si entrerebbe in contrasto con il recente accordo sulla produttività, dove pure l’enfasi è posta proprio sulle politiche di sostegno dell’occupazione tramite la</w:t>
      </w:r>
      <w:r w:rsidRPr="001357C3">
        <w:t xml:space="preserve"> riqualificazione professionale;</w:t>
      </w:r>
    </w:p>
    <w:p w:rsidR="00E14105" w:rsidRPr="001357C3" w:rsidRDefault="00E14105" w:rsidP="00F50634">
      <w:pPr>
        <w:spacing w:before="100" w:beforeAutospacing="1" w:after="100" w:afterAutospacing="1" w:line="240" w:lineRule="auto"/>
      </w:pPr>
      <w:r w:rsidRPr="001357C3">
        <w:t>impegna il Governo:</w:t>
      </w:r>
    </w:p>
    <w:p w:rsidR="00BC6A55" w:rsidRPr="001357C3" w:rsidRDefault="00BC6A55" w:rsidP="00F50634">
      <w:pPr>
        <w:spacing w:before="100" w:beforeAutospacing="1" w:after="100" w:afterAutospacing="1" w:line="240" w:lineRule="auto"/>
        <w:rPr>
          <w:bCs/>
        </w:rPr>
      </w:pPr>
      <w:r w:rsidRPr="001357C3">
        <w:rPr>
          <w:bCs/>
        </w:rPr>
        <w:t>a garantire la certa e definitiva rilevazione dei dati relativi alla cassa integrazione in deroga per il 2012 e la piena copertura finanziaria delle ore di cassa integrazione in deroga già autorizzate per il 2012;</w:t>
      </w:r>
    </w:p>
    <w:p w:rsidR="00622E1F" w:rsidRPr="001357C3" w:rsidRDefault="00BC6A55" w:rsidP="00F50634">
      <w:pPr>
        <w:spacing w:before="100" w:beforeAutospacing="1" w:after="100" w:afterAutospacing="1" w:line="240" w:lineRule="auto"/>
      </w:pPr>
      <w:r w:rsidRPr="001357C3">
        <w:rPr>
          <w:bCs/>
        </w:rPr>
        <w:t>a garantire l'adozione di tutte le iniziative necessarie ad assicurare la copertura</w:t>
      </w:r>
      <w:r w:rsidRPr="001357C3">
        <w:rPr>
          <w:b/>
          <w:bCs/>
        </w:rPr>
        <w:t xml:space="preserve"> </w:t>
      </w:r>
      <w:r w:rsidR="00F50634" w:rsidRPr="001357C3">
        <w:t xml:space="preserve"> finanziaria </w:t>
      </w:r>
      <w:r w:rsidR="005D496B" w:rsidRPr="001357C3">
        <w:t>dell'effettivo fabbisogno complessivo per</w:t>
      </w:r>
      <w:r w:rsidR="00F50634" w:rsidRPr="001357C3">
        <w:t xml:space="preserve"> il 2013 degli ammortizzatori sociali in deroga, </w:t>
      </w:r>
      <w:r w:rsidR="005D496B" w:rsidRPr="001357C3">
        <w:t xml:space="preserve">fino a raggiungere almeno la disponibilità di 2.750 miliardi di euro, </w:t>
      </w:r>
      <w:r w:rsidR="00F50634" w:rsidRPr="001357C3">
        <w:t xml:space="preserve">contemperando, da un lato, l'esigenza di ulteriori interventi di sostegno al reddito e, dall'altro, la necessità di incrementare l’occupazione e la ricollocazione, nonché </w:t>
      </w:r>
      <w:r w:rsidR="00CC1E19" w:rsidRPr="001357C3">
        <w:t xml:space="preserve">di </w:t>
      </w:r>
      <w:r w:rsidR="00F50634" w:rsidRPr="001357C3">
        <w:t>recuperare competitività e produttività, investendo in formazione, aggiornamento e riqualificazione delle competenze dei lavoratori.</w:t>
      </w:r>
    </w:p>
    <w:p w:rsidR="005D496B" w:rsidRPr="001357C3" w:rsidRDefault="005D496B" w:rsidP="00F50634">
      <w:pPr>
        <w:spacing w:before="100" w:beforeAutospacing="1" w:after="100" w:afterAutospacing="1" w:line="240" w:lineRule="auto"/>
      </w:pP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ZANDA</w:t>
      </w:r>
    </w:p>
    <w:p w:rsidR="000E4BA2" w:rsidRPr="001357C3" w:rsidRDefault="000E4BA2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 xml:space="preserve">FEDELI </w:t>
      </w:r>
    </w:p>
    <w:p w:rsidR="000E4BA2" w:rsidRPr="001357C3" w:rsidRDefault="000E4BA2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 xml:space="preserve">GHEDINI Rita </w:t>
      </w:r>
    </w:p>
    <w:p w:rsidR="000E4BA2" w:rsidRPr="001357C3" w:rsidRDefault="000E4BA2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PINOTTI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ALBANO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lastRenderedPageBreak/>
        <w:t xml:space="preserve">AMATI 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 xml:space="preserve">ANGIONI 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BERTUZZI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BUBBICO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CALEO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CANTINI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CHITI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CIRINNA'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D'ADDA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DE BIASE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DE MONTE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DI GIORGI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ESPOSITO Stefano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FABBRI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FAVERO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FERRARA Elena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FILIPPI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FINOCCHIARO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FORNARO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GATTI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GIACOBBE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GINETTI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GOTOR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GRANAIOLA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GUERRIERI  PALEOTTI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LEPRI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LO GIUDICE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MANASSERO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MARGIOTTA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MATTESINI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MINNITI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MIRABELLI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PARENTE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PEZZOPANE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PIGNEDOLI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PIZZETTI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PUGLISI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PUPPATO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RICCHIUTI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ROSSI  Gianluca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SANTINI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SONEGO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lastRenderedPageBreak/>
        <w:t>SPILABOTTE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TOMASELLI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VACCARI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VATTUONE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VERDUCCI</w:t>
      </w:r>
    </w:p>
    <w:p w:rsidR="00317351" w:rsidRPr="001357C3" w:rsidRDefault="00317351" w:rsidP="000E4B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7C3">
        <w:rPr>
          <w:rFonts w:ascii="Times New Roman" w:hAnsi="Times New Roman" w:cs="Times New Roman"/>
          <w:sz w:val="24"/>
          <w:szCs w:val="24"/>
        </w:rPr>
        <w:t>ZANONI</w:t>
      </w:r>
    </w:p>
    <w:p w:rsidR="000E4BA2" w:rsidRPr="001357C3" w:rsidRDefault="000E4BA2" w:rsidP="000E4BA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0E4BA2" w:rsidRPr="001357C3" w:rsidSect="00377487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1B" w:rsidRDefault="0060791B" w:rsidP="00A55721">
      <w:pPr>
        <w:spacing w:line="240" w:lineRule="auto"/>
      </w:pPr>
      <w:r>
        <w:separator/>
      </w:r>
    </w:p>
  </w:endnote>
  <w:endnote w:type="continuationSeparator" w:id="0">
    <w:p w:rsidR="0060791B" w:rsidRDefault="0060791B" w:rsidP="00A5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 ITC">
    <w:altName w:val="Charter I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892"/>
      <w:docPartObj>
        <w:docPartGallery w:val="Page Numbers (Bottom of Page)"/>
        <w:docPartUnique/>
      </w:docPartObj>
    </w:sdtPr>
    <w:sdtContent>
      <w:p w:rsidR="0060791B" w:rsidRDefault="003E3E70">
        <w:pPr>
          <w:pStyle w:val="Pidipagina"/>
          <w:jc w:val="center"/>
        </w:pPr>
        <w:fldSimple w:instr=" PAGE   \* MERGEFORMAT ">
          <w:r w:rsidR="00611545">
            <w:rPr>
              <w:noProof/>
            </w:rPr>
            <w:t>1</w:t>
          </w:r>
        </w:fldSimple>
      </w:p>
    </w:sdtContent>
  </w:sdt>
  <w:p w:rsidR="0060791B" w:rsidRDefault="006079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1B" w:rsidRDefault="0060791B" w:rsidP="00A55721">
      <w:pPr>
        <w:spacing w:line="240" w:lineRule="auto"/>
      </w:pPr>
      <w:r>
        <w:separator/>
      </w:r>
    </w:p>
  </w:footnote>
  <w:footnote w:type="continuationSeparator" w:id="0">
    <w:p w:rsidR="0060791B" w:rsidRDefault="0060791B" w:rsidP="00A55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694"/>
    <w:multiLevelType w:val="hybridMultilevel"/>
    <w:tmpl w:val="D44AC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704E"/>
    <w:multiLevelType w:val="multilevel"/>
    <w:tmpl w:val="4AD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5A"/>
    <w:rsid w:val="00000D87"/>
    <w:rsid w:val="00011815"/>
    <w:rsid w:val="000130B3"/>
    <w:rsid w:val="00016E09"/>
    <w:rsid w:val="00021E65"/>
    <w:rsid w:val="0002283C"/>
    <w:rsid w:val="00022DD7"/>
    <w:rsid w:val="00024CAE"/>
    <w:rsid w:val="00031E17"/>
    <w:rsid w:val="00036CD4"/>
    <w:rsid w:val="0003742E"/>
    <w:rsid w:val="0004094C"/>
    <w:rsid w:val="00041785"/>
    <w:rsid w:val="00041825"/>
    <w:rsid w:val="000451CB"/>
    <w:rsid w:val="000471AA"/>
    <w:rsid w:val="000511DE"/>
    <w:rsid w:val="000531C3"/>
    <w:rsid w:val="0005441A"/>
    <w:rsid w:val="00055393"/>
    <w:rsid w:val="00063647"/>
    <w:rsid w:val="00064CAF"/>
    <w:rsid w:val="000654C5"/>
    <w:rsid w:val="000662CD"/>
    <w:rsid w:val="00067A65"/>
    <w:rsid w:val="00070706"/>
    <w:rsid w:val="00073328"/>
    <w:rsid w:val="00073C64"/>
    <w:rsid w:val="000921CD"/>
    <w:rsid w:val="00092E66"/>
    <w:rsid w:val="00093ACE"/>
    <w:rsid w:val="000968A0"/>
    <w:rsid w:val="000A01DB"/>
    <w:rsid w:val="000A1F45"/>
    <w:rsid w:val="000A2AD6"/>
    <w:rsid w:val="000B02AE"/>
    <w:rsid w:val="000B36BB"/>
    <w:rsid w:val="000C18D7"/>
    <w:rsid w:val="000C199B"/>
    <w:rsid w:val="000C533C"/>
    <w:rsid w:val="000D367A"/>
    <w:rsid w:val="000E21A4"/>
    <w:rsid w:val="000E2C8D"/>
    <w:rsid w:val="000E45B5"/>
    <w:rsid w:val="000E4BA2"/>
    <w:rsid w:val="000E68DA"/>
    <w:rsid w:val="000F3C08"/>
    <w:rsid w:val="000F4012"/>
    <w:rsid w:val="000F71B9"/>
    <w:rsid w:val="00102DF6"/>
    <w:rsid w:val="0010489D"/>
    <w:rsid w:val="00107104"/>
    <w:rsid w:val="00110B39"/>
    <w:rsid w:val="00122DB5"/>
    <w:rsid w:val="001266C4"/>
    <w:rsid w:val="00134A1B"/>
    <w:rsid w:val="001357C3"/>
    <w:rsid w:val="001366F4"/>
    <w:rsid w:val="00143771"/>
    <w:rsid w:val="001454A9"/>
    <w:rsid w:val="001468EF"/>
    <w:rsid w:val="001473A8"/>
    <w:rsid w:val="00150463"/>
    <w:rsid w:val="00151473"/>
    <w:rsid w:val="00154353"/>
    <w:rsid w:val="00156027"/>
    <w:rsid w:val="001658BB"/>
    <w:rsid w:val="0016790C"/>
    <w:rsid w:val="00167B0B"/>
    <w:rsid w:val="001703C1"/>
    <w:rsid w:val="001764E0"/>
    <w:rsid w:val="0017699D"/>
    <w:rsid w:val="00180686"/>
    <w:rsid w:val="00180A7F"/>
    <w:rsid w:val="00181058"/>
    <w:rsid w:val="00185388"/>
    <w:rsid w:val="00186617"/>
    <w:rsid w:val="001871C6"/>
    <w:rsid w:val="00187C24"/>
    <w:rsid w:val="00192295"/>
    <w:rsid w:val="0019780B"/>
    <w:rsid w:val="001A1A92"/>
    <w:rsid w:val="001A4E3E"/>
    <w:rsid w:val="001A6592"/>
    <w:rsid w:val="001A70F9"/>
    <w:rsid w:val="001B008F"/>
    <w:rsid w:val="001B2153"/>
    <w:rsid w:val="001B3890"/>
    <w:rsid w:val="001C3327"/>
    <w:rsid w:val="001C4481"/>
    <w:rsid w:val="001C5438"/>
    <w:rsid w:val="001D03D1"/>
    <w:rsid w:val="001D279E"/>
    <w:rsid w:val="001D35FC"/>
    <w:rsid w:val="001E318E"/>
    <w:rsid w:val="001E5C19"/>
    <w:rsid w:val="001F1D8C"/>
    <w:rsid w:val="001F40F1"/>
    <w:rsid w:val="001F4C24"/>
    <w:rsid w:val="001F4FBE"/>
    <w:rsid w:val="001F5D66"/>
    <w:rsid w:val="001F613E"/>
    <w:rsid w:val="001F7177"/>
    <w:rsid w:val="001F7A72"/>
    <w:rsid w:val="00202766"/>
    <w:rsid w:val="00202826"/>
    <w:rsid w:val="00202963"/>
    <w:rsid w:val="00203A8B"/>
    <w:rsid w:val="00205488"/>
    <w:rsid w:val="0021384E"/>
    <w:rsid w:val="00213FB4"/>
    <w:rsid w:val="0021483E"/>
    <w:rsid w:val="00214D59"/>
    <w:rsid w:val="00222846"/>
    <w:rsid w:val="00222F65"/>
    <w:rsid w:val="002247EC"/>
    <w:rsid w:val="002326DD"/>
    <w:rsid w:val="00233DF9"/>
    <w:rsid w:val="002404A0"/>
    <w:rsid w:val="0024202C"/>
    <w:rsid w:val="00244A00"/>
    <w:rsid w:val="00251EA9"/>
    <w:rsid w:val="00254677"/>
    <w:rsid w:val="002568E2"/>
    <w:rsid w:val="00264FC5"/>
    <w:rsid w:val="002659A8"/>
    <w:rsid w:val="002659BC"/>
    <w:rsid w:val="00267587"/>
    <w:rsid w:val="00272014"/>
    <w:rsid w:val="00272658"/>
    <w:rsid w:val="00273FA5"/>
    <w:rsid w:val="0027545E"/>
    <w:rsid w:val="00280D15"/>
    <w:rsid w:val="0028372D"/>
    <w:rsid w:val="00284169"/>
    <w:rsid w:val="00284E5A"/>
    <w:rsid w:val="00292076"/>
    <w:rsid w:val="00293B89"/>
    <w:rsid w:val="00293BB9"/>
    <w:rsid w:val="00296321"/>
    <w:rsid w:val="002A3154"/>
    <w:rsid w:val="002B0806"/>
    <w:rsid w:val="002B378C"/>
    <w:rsid w:val="002C1AA6"/>
    <w:rsid w:val="002C7FEB"/>
    <w:rsid w:val="002E08D0"/>
    <w:rsid w:val="002E100F"/>
    <w:rsid w:val="002E7F7D"/>
    <w:rsid w:val="002F057A"/>
    <w:rsid w:val="002F148A"/>
    <w:rsid w:val="002F53C3"/>
    <w:rsid w:val="003003BE"/>
    <w:rsid w:val="003036AC"/>
    <w:rsid w:val="003038B9"/>
    <w:rsid w:val="00307B6A"/>
    <w:rsid w:val="00311468"/>
    <w:rsid w:val="00317351"/>
    <w:rsid w:val="00326212"/>
    <w:rsid w:val="00332C11"/>
    <w:rsid w:val="00334F29"/>
    <w:rsid w:val="0033631A"/>
    <w:rsid w:val="00336E22"/>
    <w:rsid w:val="003456A3"/>
    <w:rsid w:val="003530AE"/>
    <w:rsid w:val="0035589C"/>
    <w:rsid w:val="0036030D"/>
    <w:rsid w:val="00360B79"/>
    <w:rsid w:val="0036194F"/>
    <w:rsid w:val="0036243E"/>
    <w:rsid w:val="00363DAA"/>
    <w:rsid w:val="003643C0"/>
    <w:rsid w:val="00365D3D"/>
    <w:rsid w:val="00367F1B"/>
    <w:rsid w:val="00372319"/>
    <w:rsid w:val="00373A3F"/>
    <w:rsid w:val="003741A6"/>
    <w:rsid w:val="003741DB"/>
    <w:rsid w:val="003764D4"/>
    <w:rsid w:val="00377487"/>
    <w:rsid w:val="003804C6"/>
    <w:rsid w:val="00386FEC"/>
    <w:rsid w:val="00392135"/>
    <w:rsid w:val="003937B9"/>
    <w:rsid w:val="00397CC2"/>
    <w:rsid w:val="003A3391"/>
    <w:rsid w:val="003A6243"/>
    <w:rsid w:val="003A6B9D"/>
    <w:rsid w:val="003B0205"/>
    <w:rsid w:val="003B307C"/>
    <w:rsid w:val="003B55AB"/>
    <w:rsid w:val="003C4492"/>
    <w:rsid w:val="003C73E5"/>
    <w:rsid w:val="003D209D"/>
    <w:rsid w:val="003D4424"/>
    <w:rsid w:val="003E06F6"/>
    <w:rsid w:val="003E1979"/>
    <w:rsid w:val="003E3E70"/>
    <w:rsid w:val="00402BC1"/>
    <w:rsid w:val="004055A3"/>
    <w:rsid w:val="00406AA7"/>
    <w:rsid w:val="0040760C"/>
    <w:rsid w:val="00407E48"/>
    <w:rsid w:val="004131CD"/>
    <w:rsid w:val="0041627C"/>
    <w:rsid w:val="00421A25"/>
    <w:rsid w:val="00426BD9"/>
    <w:rsid w:val="00432EE8"/>
    <w:rsid w:val="00434640"/>
    <w:rsid w:val="00435AE4"/>
    <w:rsid w:val="004360C3"/>
    <w:rsid w:val="00437AA4"/>
    <w:rsid w:val="00437BE9"/>
    <w:rsid w:val="00446054"/>
    <w:rsid w:val="004462D2"/>
    <w:rsid w:val="00451267"/>
    <w:rsid w:val="00453AE5"/>
    <w:rsid w:val="004576DB"/>
    <w:rsid w:val="00460EBC"/>
    <w:rsid w:val="00461084"/>
    <w:rsid w:val="00462377"/>
    <w:rsid w:val="0046723B"/>
    <w:rsid w:val="00470D37"/>
    <w:rsid w:val="00473304"/>
    <w:rsid w:val="00483902"/>
    <w:rsid w:val="004863B9"/>
    <w:rsid w:val="00487081"/>
    <w:rsid w:val="00496F73"/>
    <w:rsid w:val="004A1419"/>
    <w:rsid w:val="004A353E"/>
    <w:rsid w:val="004B7585"/>
    <w:rsid w:val="004C1579"/>
    <w:rsid w:val="004C2940"/>
    <w:rsid w:val="004C42EC"/>
    <w:rsid w:val="004C529E"/>
    <w:rsid w:val="004D0935"/>
    <w:rsid w:val="004D35F4"/>
    <w:rsid w:val="004D364E"/>
    <w:rsid w:val="004D41E7"/>
    <w:rsid w:val="004E0479"/>
    <w:rsid w:val="004E4699"/>
    <w:rsid w:val="004F517B"/>
    <w:rsid w:val="004F6C40"/>
    <w:rsid w:val="004F6C7E"/>
    <w:rsid w:val="00500A34"/>
    <w:rsid w:val="00502914"/>
    <w:rsid w:val="005076FB"/>
    <w:rsid w:val="005104FB"/>
    <w:rsid w:val="005114F7"/>
    <w:rsid w:val="00513087"/>
    <w:rsid w:val="005136C8"/>
    <w:rsid w:val="005152DC"/>
    <w:rsid w:val="005241A2"/>
    <w:rsid w:val="005246B2"/>
    <w:rsid w:val="00530696"/>
    <w:rsid w:val="00533948"/>
    <w:rsid w:val="0053418E"/>
    <w:rsid w:val="00534572"/>
    <w:rsid w:val="0054089F"/>
    <w:rsid w:val="00541BAA"/>
    <w:rsid w:val="00552A1D"/>
    <w:rsid w:val="00554740"/>
    <w:rsid w:val="00554B90"/>
    <w:rsid w:val="005649D3"/>
    <w:rsid w:val="00565FEB"/>
    <w:rsid w:val="0056691D"/>
    <w:rsid w:val="00574F07"/>
    <w:rsid w:val="00584631"/>
    <w:rsid w:val="00584FE1"/>
    <w:rsid w:val="0058642A"/>
    <w:rsid w:val="0059298D"/>
    <w:rsid w:val="0059480A"/>
    <w:rsid w:val="005A1C15"/>
    <w:rsid w:val="005A28C8"/>
    <w:rsid w:val="005B0D8C"/>
    <w:rsid w:val="005B2412"/>
    <w:rsid w:val="005B5B29"/>
    <w:rsid w:val="005C1E41"/>
    <w:rsid w:val="005D496B"/>
    <w:rsid w:val="005E17D6"/>
    <w:rsid w:val="005E195E"/>
    <w:rsid w:val="005E1A47"/>
    <w:rsid w:val="005E582D"/>
    <w:rsid w:val="005E62C3"/>
    <w:rsid w:val="005F0119"/>
    <w:rsid w:val="005F0BDD"/>
    <w:rsid w:val="005F2CAB"/>
    <w:rsid w:val="005F57B0"/>
    <w:rsid w:val="006061B1"/>
    <w:rsid w:val="0060791B"/>
    <w:rsid w:val="00611131"/>
    <w:rsid w:val="00611545"/>
    <w:rsid w:val="00612414"/>
    <w:rsid w:val="00613616"/>
    <w:rsid w:val="00614D4E"/>
    <w:rsid w:val="00615EC9"/>
    <w:rsid w:val="006212CA"/>
    <w:rsid w:val="00622E1F"/>
    <w:rsid w:val="006308B2"/>
    <w:rsid w:val="006337F6"/>
    <w:rsid w:val="00634867"/>
    <w:rsid w:val="00641019"/>
    <w:rsid w:val="006415CD"/>
    <w:rsid w:val="00641776"/>
    <w:rsid w:val="00642F15"/>
    <w:rsid w:val="006436BC"/>
    <w:rsid w:val="006437E0"/>
    <w:rsid w:val="00643ACC"/>
    <w:rsid w:val="00646B99"/>
    <w:rsid w:val="0064788D"/>
    <w:rsid w:val="0065276C"/>
    <w:rsid w:val="00653F5F"/>
    <w:rsid w:val="00654F32"/>
    <w:rsid w:val="006553F6"/>
    <w:rsid w:val="00664B56"/>
    <w:rsid w:val="00664D5A"/>
    <w:rsid w:val="00664D86"/>
    <w:rsid w:val="00667837"/>
    <w:rsid w:val="00673F46"/>
    <w:rsid w:val="00684102"/>
    <w:rsid w:val="00695A3E"/>
    <w:rsid w:val="0069720F"/>
    <w:rsid w:val="00697885"/>
    <w:rsid w:val="006A33D3"/>
    <w:rsid w:val="006A57A7"/>
    <w:rsid w:val="006A5DDD"/>
    <w:rsid w:val="006B13C7"/>
    <w:rsid w:val="006B2E08"/>
    <w:rsid w:val="006B52CD"/>
    <w:rsid w:val="006C271B"/>
    <w:rsid w:val="006C2C1C"/>
    <w:rsid w:val="006C384E"/>
    <w:rsid w:val="006C432E"/>
    <w:rsid w:val="006D29F7"/>
    <w:rsid w:val="006D386E"/>
    <w:rsid w:val="006E4F0D"/>
    <w:rsid w:val="006E5F9F"/>
    <w:rsid w:val="006E7702"/>
    <w:rsid w:val="006F0FB0"/>
    <w:rsid w:val="006F1DB0"/>
    <w:rsid w:val="006F5686"/>
    <w:rsid w:val="006F69D6"/>
    <w:rsid w:val="006F706D"/>
    <w:rsid w:val="006F71FC"/>
    <w:rsid w:val="00701FCB"/>
    <w:rsid w:val="007065A0"/>
    <w:rsid w:val="00706A0E"/>
    <w:rsid w:val="00706B88"/>
    <w:rsid w:val="00710148"/>
    <w:rsid w:val="007136E2"/>
    <w:rsid w:val="0071673F"/>
    <w:rsid w:val="007214F2"/>
    <w:rsid w:val="00722B30"/>
    <w:rsid w:val="00723FFC"/>
    <w:rsid w:val="00724173"/>
    <w:rsid w:val="00724BC4"/>
    <w:rsid w:val="00724D71"/>
    <w:rsid w:val="00733298"/>
    <w:rsid w:val="00734A66"/>
    <w:rsid w:val="00740C0F"/>
    <w:rsid w:val="00744355"/>
    <w:rsid w:val="00744F83"/>
    <w:rsid w:val="00746F82"/>
    <w:rsid w:val="0075020D"/>
    <w:rsid w:val="00750912"/>
    <w:rsid w:val="00753A98"/>
    <w:rsid w:val="00755AB0"/>
    <w:rsid w:val="00761063"/>
    <w:rsid w:val="00764B84"/>
    <w:rsid w:val="00771803"/>
    <w:rsid w:val="00777060"/>
    <w:rsid w:val="00781C6D"/>
    <w:rsid w:val="00781FF8"/>
    <w:rsid w:val="00783143"/>
    <w:rsid w:val="007837A1"/>
    <w:rsid w:val="00794CEE"/>
    <w:rsid w:val="00796EF5"/>
    <w:rsid w:val="007A48F4"/>
    <w:rsid w:val="007B2F8E"/>
    <w:rsid w:val="007B5C80"/>
    <w:rsid w:val="007B738D"/>
    <w:rsid w:val="007B77BC"/>
    <w:rsid w:val="007C2A8F"/>
    <w:rsid w:val="007C3E91"/>
    <w:rsid w:val="007C7CE7"/>
    <w:rsid w:val="007D21C5"/>
    <w:rsid w:val="007D365C"/>
    <w:rsid w:val="007E6D6F"/>
    <w:rsid w:val="007F25FC"/>
    <w:rsid w:val="007F5E38"/>
    <w:rsid w:val="007F796B"/>
    <w:rsid w:val="00800855"/>
    <w:rsid w:val="008008F8"/>
    <w:rsid w:val="0080238E"/>
    <w:rsid w:val="008106A4"/>
    <w:rsid w:val="0081171D"/>
    <w:rsid w:val="00815E6A"/>
    <w:rsid w:val="00816978"/>
    <w:rsid w:val="00825379"/>
    <w:rsid w:val="008323FA"/>
    <w:rsid w:val="00832521"/>
    <w:rsid w:val="00833F73"/>
    <w:rsid w:val="008436D0"/>
    <w:rsid w:val="008557F1"/>
    <w:rsid w:val="00856B4C"/>
    <w:rsid w:val="008579C8"/>
    <w:rsid w:val="00862133"/>
    <w:rsid w:val="00864486"/>
    <w:rsid w:val="00866793"/>
    <w:rsid w:val="00867742"/>
    <w:rsid w:val="00873046"/>
    <w:rsid w:val="00880265"/>
    <w:rsid w:val="00882173"/>
    <w:rsid w:val="00882D93"/>
    <w:rsid w:val="008843E1"/>
    <w:rsid w:val="00891F5B"/>
    <w:rsid w:val="008A04E5"/>
    <w:rsid w:val="008A1B2C"/>
    <w:rsid w:val="008A2ECE"/>
    <w:rsid w:val="008A5337"/>
    <w:rsid w:val="008B19EB"/>
    <w:rsid w:val="008B40A4"/>
    <w:rsid w:val="008B6B0A"/>
    <w:rsid w:val="008C62C0"/>
    <w:rsid w:val="008C720D"/>
    <w:rsid w:val="008D005B"/>
    <w:rsid w:val="008D3FC1"/>
    <w:rsid w:val="008D4AEC"/>
    <w:rsid w:val="008D4C67"/>
    <w:rsid w:val="008E059C"/>
    <w:rsid w:val="008E761D"/>
    <w:rsid w:val="008E79C7"/>
    <w:rsid w:val="008F0190"/>
    <w:rsid w:val="008F131A"/>
    <w:rsid w:val="008F4A60"/>
    <w:rsid w:val="008F75F1"/>
    <w:rsid w:val="009057A8"/>
    <w:rsid w:val="00906EE1"/>
    <w:rsid w:val="009138EE"/>
    <w:rsid w:val="00917667"/>
    <w:rsid w:val="00922F4B"/>
    <w:rsid w:val="00924A70"/>
    <w:rsid w:val="009253D5"/>
    <w:rsid w:val="00926D42"/>
    <w:rsid w:val="00940069"/>
    <w:rsid w:val="009420BC"/>
    <w:rsid w:val="00943AB1"/>
    <w:rsid w:val="00946EF7"/>
    <w:rsid w:val="0094774C"/>
    <w:rsid w:val="00953C41"/>
    <w:rsid w:val="00955E05"/>
    <w:rsid w:val="00966408"/>
    <w:rsid w:val="00972B53"/>
    <w:rsid w:val="009747B0"/>
    <w:rsid w:val="0097541C"/>
    <w:rsid w:val="009769C0"/>
    <w:rsid w:val="00980E89"/>
    <w:rsid w:val="0098767E"/>
    <w:rsid w:val="009A11E0"/>
    <w:rsid w:val="009B124F"/>
    <w:rsid w:val="009B2153"/>
    <w:rsid w:val="009B4F78"/>
    <w:rsid w:val="009C01D1"/>
    <w:rsid w:val="009C3220"/>
    <w:rsid w:val="009C54B7"/>
    <w:rsid w:val="009C63D4"/>
    <w:rsid w:val="009D1668"/>
    <w:rsid w:val="009E0533"/>
    <w:rsid w:val="009E45FE"/>
    <w:rsid w:val="009F130E"/>
    <w:rsid w:val="00A0252B"/>
    <w:rsid w:val="00A028F0"/>
    <w:rsid w:val="00A04911"/>
    <w:rsid w:val="00A1011D"/>
    <w:rsid w:val="00A122AA"/>
    <w:rsid w:val="00A146CB"/>
    <w:rsid w:val="00A14DFC"/>
    <w:rsid w:val="00A229FC"/>
    <w:rsid w:val="00A251A1"/>
    <w:rsid w:val="00A37148"/>
    <w:rsid w:val="00A40C9B"/>
    <w:rsid w:val="00A437A8"/>
    <w:rsid w:val="00A456AC"/>
    <w:rsid w:val="00A46D4D"/>
    <w:rsid w:val="00A55721"/>
    <w:rsid w:val="00A57A06"/>
    <w:rsid w:val="00A60E5A"/>
    <w:rsid w:val="00A618FB"/>
    <w:rsid w:val="00A63619"/>
    <w:rsid w:val="00A6366B"/>
    <w:rsid w:val="00A70392"/>
    <w:rsid w:val="00A75562"/>
    <w:rsid w:val="00A76478"/>
    <w:rsid w:val="00A80C2D"/>
    <w:rsid w:val="00A82AB5"/>
    <w:rsid w:val="00A9325A"/>
    <w:rsid w:val="00AA07A1"/>
    <w:rsid w:val="00AA0C50"/>
    <w:rsid w:val="00AB3B6F"/>
    <w:rsid w:val="00AB59B7"/>
    <w:rsid w:val="00AB6C81"/>
    <w:rsid w:val="00AC0E6E"/>
    <w:rsid w:val="00AC3091"/>
    <w:rsid w:val="00AC37B3"/>
    <w:rsid w:val="00AC51D9"/>
    <w:rsid w:val="00AD6F25"/>
    <w:rsid w:val="00AF02F5"/>
    <w:rsid w:val="00AF14BB"/>
    <w:rsid w:val="00AF414E"/>
    <w:rsid w:val="00AF48D3"/>
    <w:rsid w:val="00AF7B27"/>
    <w:rsid w:val="00B00EA5"/>
    <w:rsid w:val="00B0112C"/>
    <w:rsid w:val="00B0408F"/>
    <w:rsid w:val="00B12B56"/>
    <w:rsid w:val="00B161A6"/>
    <w:rsid w:val="00B16571"/>
    <w:rsid w:val="00B26EA3"/>
    <w:rsid w:val="00B338AC"/>
    <w:rsid w:val="00B3745C"/>
    <w:rsid w:val="00B4324A"/>
    <w:rsid w:val="00B54166"/>
    <w:rsid w:val="00B60B49"/>
    <w:rsid w:val="00B60DFD"/>
    <w:rsid w:val="00B72A0E"/>
    <w:rsid w:val="00B73C86"/>
    <w:rsid w:val="00B74260"/>
    <w:rsid w:val="00B81BD2"/>
    <w:rsid w:val="00B87EC0"/>
    <w:rsid w:val="00B93A81"/>
    <w:rsid w:val="00B96E0C"/>
    <w:rsid w:val="00BA050E"/>
    <w:rsid w:val="00BA45F9"/>
    <w:rsid w:val="00BA7FF0"/>
    <w:rsid w:val="00BB0A74"/>
    <w:rsid w:val="00BB7835"/>
    <w:rsid w:val="00BC0863"/>
    <w:rsid w:val="00BC1E20"/>
    <w:rsid w:val="00BC6A55"/>
    <w:rsid w:val="00BC7E5A"/>
    <w:rsid w:val="00BD0B3B"/>
    <w:rsid w:val="00BD33C6"/>
    <w:rsid w:val="00BD3DB7"/>
    <w:rsid w:val="00BD52FE"/>
    <w:rsid w:val="00BD7EB0"/>
    <w:rsid w:val="00BE48D6"/>
    <w:rsid w:val="00BE78C1"/>
    <w:rsid w:val="00BF2F81"/>
    <w:rsid w:val="00BF54BD"/>
    <w:rsid w:val="00C00A93"/>
    <w:rsid w:val="00C10BF3"/>
    <w:rsid w:val="00C14266"/>
    <w:rsid w:val="00C3275B"/>
    <w:rsid w:val="00C35C53"/>
    <w:rsid w:val="00C427DC"/>
    <w:rsid w:val="00C45F5E"/>
    <w:rsid w:val="00C50B5C"/>
    <w:rsid w:val="00C53516"/>
    <w:rsid w:val="00C550FA"/>
    <w:rsid w:val="00C73062"/>
    <w:rsid w:val="00C73C81"/>
    <w:rsid w:val="00C746B3"/>
    <w:rsid w:val="00C7710F"/>
    <w:rsid w:val="00C814BB"/>
    <w:rsid w:val="00C90836"/>
    <w:rsid w:val="00C926F4"/>
    <w:rsid w:val="00C96D72"/>
    <w:rsid w:val="00CA3295"/>
    <w:rsid w:val="00CB065E"/>
    <w:rsid w:val="00CC02FD"/>
    <w:rsid w:val="00CC1E19"/>
    <w:rsid w:val="00CC30E3"/>
    <w:rsid w:val="00CC56B6"/>
    <w:rsid w:val="00CE4B5D"/>
    <w:rsid w:val="00CF0CBE"/>
    <w:rsid w:val="00CF15BB"/>
    <w:rsid w:val="00CF2AAA"/>
    <w:rsid w:val="00CF2FE8"/>
    <w:rsid w:val="00D00FDE"/>
    <w:rsid w:val="00D06217"/>
    <w:rsid w:val="00D1240F"/>
    <w:rsid w:val="00D34F4C"/>
    <w:rsid w:val="00D41DF0"/>
    <w:rsid w:val="00D43E64"/>
    <w:rsid w:val="00D440C6"/>
    <w:rsid w:val="00D460B0"/>
    <w:rsid w:val="00D46DD0"/>
    <w:rsid w:val="00D478E7"/>
    <w:rsid w:val="00D65E88"/>
    <w:rsid w:val="00D73DA7"/>
    <w:rsid w:val="00D764C3"/>
    <w:rsid w:val="00D76F72"/>
    <w:rsid w:val="00D835E6"/>
    <w:rsid w:val="00D83C5B"/>
    <w:rsid w:val="00D86535"/>
    <w:rsid w:val="00D92F0E"/>
    <w:rsid w:val="00D94248"/>
    <w:rsid w:val="00D94D5F"/>
    <w:rsid w:val="00D95F4B"/>
    <w:rsid w:val="00DA36B4"/>
    <w:rsid w:val="00DA5DB8"/>
    <w:rsid w:val="00DB07CF"/>
    <w:rsid w:val="00DC1573"/>
    <w:rsid w:val="00DC3709"/>
    <w:rsid w:val="00DC48F6"/>
    <w:rsid w:val="00DC4D1B"/>
    <w:rsid w:val="00DC7890"/>
    <w:rsid w:val="00DC78E2"/>
    <w:rsid w:val="00DD2684"/>
    <w:rsid w:val="00DD65EE"/>
    <w:rsid w:val="00DE5DA3"/>
    <w:rsid w:val="00DF680B"/>
    <w:rsid w:val="00E0215E"/>
    <w:rsid w:val="00E03415"/>
    <w:rsid w:val="00E04962"/>
    <w:rsid w:val="00E07AD7"/>
    <w:rsid w:val="00E10648"/>
    <w:rsid w:val="00E14105"/>
    <w:rsid w:val="00E151BD"/>
    <w:rsid w:val="00E17B10"/>
    <w:rsid w:val="00E20503"/>
    <w:rsid w:val="00E2138D"/>
    <w:rsid w:val="00E2148C"/>
    <w:rsid w:val="00E241A7"/>
    <w:rsid w:val="00E24CE5"/>
    <w:rsid w:val="00E279C5"/>
    <w:rsid w:val="00E30E1F"/>
    <w:rsid w:val="00E31B0E"/>
    <w:rsid w:val="00E358E4"/>
    <w:rsid w:val="00E46C9D"/>
    <w:rsid w:val="00E509BB"/>
    <w:rsid w:val="00E51C19"/>
    <w:rsid w:val="00E51C90"/>
    <w:rsid w:val="00E53FDB"/>
    <w:rsid w:val="00E55890"/>
    <w:rsid w:val="00E55C59"/>
    <w:rsid w:val="00E57AF9"/>
    <w:rsid w:val="00E57C37"/>
    <w:rsid w:val="00E62176"/>
    <w:rsid w:val="00E65FAC"/>
    <w:rsid w:val="00E667D2"/>
    <w:rsid w:val="00E71E2A"/>
    <w:rsid w:val="00E779AC"/>
    <w:rsid w:val="00E82951"/>
    <w:rsid w:val="00E84E33"/>
    <w:rsid w:val="00E92742"/>
    <w:rsid w:val="00E97063"/>
    <w:rsid w:val="00EA4B45"/>
    <w:rsid w:val="00EB370D"/>
    <w:rsid w:val="00EB4B23"/>
    <w:rsid w:val="00EC0AF0"/>
    <w:rsid w:val="00EC2FEB"/>
    <w:rsid w:val="00EC422A"/>
    <w:rsid w:val="00EC5987"/>
    <w:rsid w:val="00ED0204"/>
    <w:rsid w:val="00ED46C0"/>
    <w:rsid w:val="00ED6B1D"/>
    <w:rsid w:val="00ED6B9D"/>
    <w:rsid w:val="00EE13A7"/>
    <w:rsid w:val="00EF0851"/>
    <w:rsid w:val="00EF2D5B"/>
    <w:rsid w:val="00EF4875"/>
    <w:rsid w:val="00EF4AAC"/>
    <w:rsid w:val="00EF6056"/>
    <w:rsid w:val="00EF7011"/>
    <w:rsid w:val="00F00F7A"/>
    <w:rsid w:val="00F029E1"/>
    <w:rsid w:val="00F02F16"/>
    <w:rsid w:val="00F03970"/>
    <w:rsid w:val="00F0676B"/>
    <w:rsid w:val="00F12F3C"/>
    <w:rsid w:val="00F23C8D"/>
    <w:rsid w:val="00F3229E"/>
    <w:rsid w:val="00F35499"/>
    <w:rsid w:val="00F37F79"/>
    <w:rsid w:val="00F45784"/>
    <w:rsid w:val="00F460D0"/>
    <w:rsid w:val="00F47589"/>
    <w:rsid w:val="00F50634"/>
    <w:rsid w:val="00F5348C"/>
    <w:rsid w:val="00F60614"/>
    <w:rsid w:val="00F6112C"/>
    <w:rsid w:val="00F64FA3"/>
    <w:rsid w:val="00F70C2A"/>
    <w:rsid w:val="00F74CB5"/>
    <w:rsid w:val="00F81146"/>
    <w:rsid w:val="00F81828"/>
    <w:rsid w:val="00F81876"/>
    <w:rsid w:val="00F84522"/>
    <w:rsid w:val="00F9447D"/>
    <w:rsid w:val="00F95712"/>
    <w:rsid w:val="00F96DB3"/>
    <w:rsid w:val="00F96EFA"/>
    <w:rsid w:val="00F970AC"/>
    <w:rsid w:val="00FA0EB5"/>
    <w:rsid w:val="00FA2D23"/>
    <w:rsid w:val="00FA3145"/>
    <w:rsid w:val="00FA67DC"/>
    <w:rsid w:val="00FB2136"/>
    <w:rsid w:val="00FB505D"/>
    <w:rsid w:val="00FB607B"/>
    <w:rsid w:val="00FB744B"/>
    <w:rsid w:val="00FC303A"/>
    <w:rsid w:val="00FC3A59"/>
    <w:rsid w:val="00FC48F6"/>
    <w:rsid w:val="00FD1391"/>
    <w:rsid w:val="00FE2B35"/>
    <w:rsid w:val="00FE351B"/>
    <w:rsid w:val="00FF0D3D"/>
    <w:rsid w:val="00FF3AF3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4D5A"/>
    <w:rPr>
      <w:b/>
      <w:bCs/>
    </w:rPr>
  </w:style>
  <w:style w:type="paragraph" w:customStyle="1" w:styleId="auto-style34">
    <w:name w:val="auto-style34"/>
    <w:basedOn w:val="Normale"/>
    <w:rsid w:val="00664D5A"/>
    <w:pPr>
      <w:spacing w:before="168" w:after="168" w:line="240" w:lineRule="auto"/>
      <w:jc w:val="left"/>
    </w:pPr>
    <w:rPr>
      <w:rFonts w:ascii="Arial" w:eastAsia="Times New Roman" w:hAnsi="Arial" w:cs="Arial"/>
      <w:lang w:eastAsia="it-IT"/>
    </w:rPr>
  </w:style>
  <w:style w:type="paragraph" w:customStyle="1" w:styleId="Pa9">
    <w:name w:val="Pa9"/>
    <w:basedOn w:val="Normale"/>
    <w:next w:val="Normale"/>
    <w:uiPriority w:val="99"/>
    <w:rsid w:val="00664D5A"/>
    <w:pPr>
      <w:autoSpaceDE w:val="0"/>
      <w:autoSpaceDN w:val="0"/>
      <w:adjustRightInd w:val="0"/>
      <w:spacing w:line="241" w:lineRule="atLeast"/>
      <w:jc w:val="left"/>
    </w:pPr>
    <w:rPr>
      <w:rFonts w:ascii="Charter ITC" w:hAnsi="Charter ITC" w:cstheme="minorBidi"/>
    </w:rPr>
  </w:style>
  <w:style w:type="paragraph" w:styleId="Paragrafoelenco">
    <w:name w:val="List Paragraph"/>
    <w:basedOn w:val="Normale"/>
    <w:uiPriority w:val="34"/>
    <w:qFormat/>
    <w:rsid w:val="00664D5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37AA4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A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1EA9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BF2F81"/>
  </w:style>
  <w:style w:type="paragraph" w:styleId="Intestazione">
    <w:name w:val="header"/>
    <w:basedOn w:val="Normale"/>
    <w:link w:val="IntestazioneCarattere"/>
    <w:uiPriority w:val="99"/>
    <w:semiHidden/>
    <w:unhideWhenUsed/>
    <w:rsid w:val="00A557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5721"/>
  </w:style>
  <w:style w:type="paragraph" w:styleId="Pidipagina">
    <w:name w:val="footer"/>
    <w:basedOn w:val="Normale"/>
    <w:link w:val="PidipaginaCarattere"/>
    <w:uiPriority w:val="99"/>
    <w:unhideWhenUsed/>
    <w:rsid w:val="00A557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3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1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single" w:sz="4" w:space="0" w:color="D0CBC8"/>
                        <w:right w:val="none" w:sz="0" w:space="0" w:color="auto"/>
                      </w:divBdr>
                      <w:divsChild>
                        <w:div w:id="967664951">
                          <w:marLeft w:val="100"/>
                          <w:marRight w:val="100"/>
                          <w:marTop w:val="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0CBC8"/>
                            <w:right w:val="none" w:sz="0" w:space="0" w:color="auto"/>
                          </w:divBdr>
                        </w:div>
                      </w:divsChild>
                    </w:div>
                    <w:div w:id="2590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08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87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single" w:sz="4" w:space="0" w:color="D0CBC8"/>
                        <w:right w:val="none" w:sz="0" w:space="0" w:color="auto"/>
                      </w:divBdr>
                      <w:divsChild>
                        <w:div w:id="146212740">
                          <w:marLeft w:val="100"/>
                          <w:marRight w:val="100"/>
                          <w:marTop w:val="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0CBC8"/>
                            <w:right w:val="none" w:sz="0" w:space="0" w:color="auto"/>
                          </w:divBdr>
                        </w:div>
                      </w:divsChild>
                    </w:div>
                    <w:div w:id="3242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02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9124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13788857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13100201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ghedini</dc:creator>
  <cp:lastModifiedBy>LANZONE</cp:lastModifiedBy>
  <cp:revision>4</cp:revision>
  <cp:lastPrinted>2013-04-11T15:58:00Z</cp:lastPrinted>
  <dcterms:created xsi:type="dcterms:W3CDTF">2013-04-11T15:56:00Z</dcterms:created>
  <dcterms:modified xsi:type="dcterms:W3CDTF">2013-04-11T16:01:00Z</dcterms:modified>
</cp:coreProperties>
</file>