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243" w:rsidRPr="00D01243" w:rsidRDefault="00D01243" w:rsidP="00D01243">
      <w:pPr>
        <w:pStyle w:val="testojustify1"/>
        <w:rPr>
          <w:rFonts w:ascii="Times New Roman" w:hAnsi="Times New Roman"/>
          <w:color w:val="000000"/>
          <w:sz w:val="28"/>
          <w:szCs w:val="28"/>
        </w:rPr>
      </w:pPr>
      <w:r w:rsidRPr="00D01243">
        <w:rPr>
          <w:rFonts w:ascii="Times New Roman" w:hAnsi="Times New Roman"/>
          <w:color w:val="000000"/>
          <w:sz w:val="28"/>
          <w:szCs w:val="28"/>
        </w:rPr>
        <w:fldChar w:fldCharType="begin"/>
      </w:r>
      <w:r w:rsidRPr="00D01243">
        <w:rPr>
          <w:rFonts w:ascii="Times New Roman" w:hAnsi="Times New Roman"/>
          <w:color w:val="000000"/>
          <w:sz w:val="28"/>
          <w:szCs w:val="28"/>
        </w:rPr>
        <w:instrText xml:space="preserve"> HYPERLINK "http://www.senato.it/loc/link.asp?leg=17&amp;tipodoc=sanasen&amp;id=991" \o "Il link apre una nuova finestra" </w:instrText>
      </w:r>
      <w:r w:rsidRPr="00D01243">
        <w:rPr>
          <w:rFonts w:ascii="Times New Roman" w:hAnsi="Times New Roman"/>
          <w:color w:val="000000"/>
          <w:sz w:val="28"/>
          <w:szCs w:val="28"/>
        </w:rPr>
        <w:fldChar w:fldCharType="separate"/>
      </w:r>
      <w:r w:rsidRPr="00D01243">
        <w:rPr>
          <w:rStyle w:val="Collegamentoipertestuale"/>
          <w:rFonts w:ascii="Times New Roman" w:hAnsi="Times New Roman"/>
          <w:sz w:val="28"/>
          <w:szCs w:val="28"/>
        </w:rPr>
        <w:t>FINOCCHIARO</w:t>
      </w:r>
      <w:r w:rsidRPr="00D01243">
        <w:rPr>
          <w:rFonts w:ascii="Times New Roman" w:hAnsi="Times New Roman"/>
          <w:color w:val="000000"/>
          <w:sz w:val="28"/>
          <w:szCs w:val="28"/>
        </w:rPr>
        <w:fldChar w:fldCharType="end"/>
      </w:r>
      <w:r w:rsidRPr="00D01243">
        <w:rPr>
          <w:rFonts w:ascii="Times New Roman" w:hAnsi="Times New Roman"/>
          <w:color w:val="000000"/>
          <w:sz w:val="28"/>
          <w:szCs w:val="28"/>
        </w:rPr>
        <w:t xml:space="preserve"> </w:t>
      </w:r>
      <w:r w:rsidRPr="00D01243">
        <w:rPr>
          <w:rFonts w:ascii="Times New Roman" w:hAnsi="Times New Roman"/>
          <w:i/>
          <w:iCs/>
          <w:color w:val="000000"/>
          <w:sz w:val="28"/>
          <w:szCs w:val="28"/>
        </w:rPr>
        <w:t>(PD)</w:t>
      </w:r>
      <w:r w:rsidRPr="00D01243">
        <w:rPr>
          <w:rFonts w:ascii="Times New Roman" w:hAnsi="Times New Roman"/>
          <w:color w:val="000000"/>
          <w:sz w:val="28"/>
          <w:szCs w:val="28"/>
        </w:rPr>
        <w:t>. Signora Presidente, illustro la proposta emendativa a mia firma, che è una proposta nota certamente a tutti i colleghi della Commissione giustizia e a molti altri che nel corso di questa settimana hanno avuto il tempo, la pazienza o l'interesse a considerare il lavoro che la Commissione fino a quel punto aveva compiuto. È infatti esattamente la stessa proposta che ho avanzato come relatrice in Commissione, a parte due aggiunte di cui dirò dopo.</w:t>
      </w:r>
    </w:p>
    <w:p w:rsidR="00D01243" w:rsidRPr="00D01243" w:rsidRDefault="00D01243" w:rsidP="00D01243">
      <w:pPr>
        <w:pStyle w:val="testojustify1"/>
        <w:rPr>
          <w:rFonts w:ascii="Times New Roman" w:hAnsi="Times New Roman"/>
          <w:color w:val="000000"/>
          <w:sz w:val="28"/>
          <w:szCs w:val="28"/>
        </w:rPr>
      </w:pPr>
      <w:r w:rsidRPr="00D01243">
        <w:rPr>
          <w:rFonts w:ascii="Times New Roman" w:hAnsi="Times New Roman"/>
          <w:color w:val="000000"/>
          <w:sz w:val="28"/>
          <w:szCs w:val="28"/>
        </w:rPr>
        <w:t>La mia proposta nasceva non soltanto dai lavori della Commissione sul tema della riforma elettorale, ma ha le sue radici nel dibattito che all'interno della Commissione e successivamente in Aula si sviluppò in occasione della riforma della Costituzione, in particolare della riforma del bicameralismo prefetto. In quella sede, e nelle molte sedi in cui discutemmo di quel tema, i colleghi ricorderanno che una delle osservazioni che con più forza, con più vivezza e con più ragione, a mio avviso e ad avviso della Commissione veniva fatta, è che in un sistema dotato di una sola Camera rappresentativa, quella Camera dovesse essere composta sulla base di un principio che assicurasse il più largamente possibile la rappresentanza.</w:t>
      </w:r>
    </w:p>
    <w:p w:rsidR="00D01243" w:rsidRPr="00D01243" w:rsidRDefault="00D01243" w:rsidP="00D01243">
      <w:pPr>
        <w:pStyle w:val="testojustify1"/>
        <w:rPr>
          <w:rFonts w:ascii="Times New Roman" w:hAnsi="Times New Roman"/>
          <w:color w:val="000000"/>
          <w:sz w:val="28"/>
          <w:szCs w:val="28"/>
        </w:rPr>
      </w:pPr>
      <w:r w:rsidRPr="00D01243">
        <w:rPr>
          <w:rFonts w:ascii="Times New Roman" w:hAnsi="Times New Roman"/>
          <w:color w:val="000000"/>
          <w:sz w:val="28"/>
          <w:szCs w:val="28"/>
        </w:rPr>
        <w:t>Un'esigenza che è stata tante volte evocata e che è stata la prima che la Commissione ha discusso e affrontato quando in discussione generale abbiamo parlato di legge elettorale. Questa è la ragione per la quale questi emendamenti, recano, come tanti colleghi hanno ricordato - lo stesso ministro Boschi lo ha fatto - in coerenza con quel dibattito e con quel sentimento, un abbassamento della soglia di accesso al tre per cento rispetto alle soglie che erano previste nel testo che ci è pervenuto dalla Camera; una modifica sulla quale peraltro mi pare che in tanti abbiano convenuto - ma verrò adesso anche ad obiezioni che possono essere fatte - che conduce alla soglia del 3 per cento come unica soglia per l'accesso alla rappresentanza.</w:t>
      </w:r>
    </w:p>
    <w:p w:rsidR="00D01243" w:rsidRPr="00D01243" w:rsidRDefault="00D01243" w:rsidP="00D01243">
      <w:pPr>
        <w:pStyle w:val="testojustify1"/>
        <w:rPr>
          <w:rFonts w:ascii="Times New Roman" w:hAnsi="Times New Roman"/>
          <w:color w:val="000000"/>
          <w:sz w:val="28"/>
          <w:szCs w:val="28"/>
        </w:rPr>
      </w:pPr>
      <w:r w:rsidRPr="00D01243">
        <w:rPr>
          <w:rFonts w:ascii="Times New Roman" w:hAnsi="Times New Roman"/>
          <w:color w:val="000000"/>
          <w:sz w:val="28"/>
          <w:szCs w:val="28"/>
        </w:rPr>
        <w:t>La seconda modifica rispetto al testo dell'</w:t>
      </w:r>
      <w:proofErr w:type="spellStart"/>
      <w:r w:rsidRPr="00D01243">
        <w:rPr>
          <w:rFonts w:ascii="Times New Roman" w:hAnsi="Times New Roman"/>
          <w:color w:val="000000"/>
          <w:sz w:val="28"/>
          <w:szCs w:val="28"/>
        </w:rPr>
        <w:t>Italicum</w:t>
      </w:r>
      <w:proofErr w:type="spellEnd"/>
      <w:r w:rsidRPr="00D01243">
        <w:rPr>
          <w:rFonts w:ascii="Times New Roman" w:hAnsi="Times New Roman"/>
          <w:color w:val="000000"/>
          <w:sz w:val="28"/>
          <w:szCs w:val="28"/>
        </w:rPr>
        <w:t xml:space="preserve"> riguarda la soglia a partire dalla quale la forza politica (quindi la lista, secondo gli emendamenti, che raggiunga la soglia fatidica) ottenga il premio di maggioranza corrispondente a 340 seggi.</w:t>
      </w:r>
    </w:p>
    <w:p w:rsidR="00D01243" w:rsidRPr="00D01243" w:rsidRDefault="00D01243" w:rsidP="00D01243">
      <w:pPr>
        <w:pStyle w:val="testojustify1"/>
        <w:rPr>
          <w:rFonts w:ascii="Times New Roman" w:hAnsi="Times New Roman"/>
          <w:color w:val="000000"/>
          <w:sz w:val="28"/>
          <w:szCs w:val="28"/>
        </w:rPr>
      </w:pPr>
      <w:r w:rsidRPr="00D01243">
        <w:rPr>
          <w:rFonts w:ascii="Times New Roman" w:hAnsi="Times New Roman"/>
          <w:color w:val="000000"/>
          <w:sz w:val="28"/>
          <w:szCs w:val="28"/>
        </w:rPr>
        <w:t xml:space="preserve">Le due questioni, quella della soglia di accesso e quella appunto della soglia giunti alla quale si ottenga il premio di maggioranza sono strettamente connesse ovviamente. Ritengo che anche in questo senso, come pure da molte parti si è detto, il miglioramento rispetto al testo che ci perviene dalla Camera sia intuitivo e radichi quindi su quella che è la migliore approssimazione possibile, e insisto sull'aggettivo «possibile» perché noi stiamo discutendo della legge elettorale possibile e non della legge elettorale che a ciascuno di noi più aggrada. Stiamo parlando della legge elettorale possibile dopo otto anni di </w:t>
      </w:r>
      <w:proofErr w:type="spellStart"/>
      <w:r w:rsidRPr="00D01243">
        <w:rPr>
          <w:rFonts w:ascii="Times New Roman" w:hAnsi="Times New Roman"/>
          <w:color w:val="000000"/>
          <w:sz w:val="28"/>
          <w:szCs w:val="28"/>
        </w:rPr>
        <w:t>Porcellum</w:t>
      </w:r>
      <w:proofErr w:type="spellEnd"/>
      <w:r w:rsidRPr="00D01243">
        <w:rPr>
          <w:rFonts w:ascii="Times New Roman" w:hAnsi="Times New Roman"/>
          <w:color w:val="000000"/>
          <w:sz w:val="28"/>
          <w:szCs w:val="28"/>
        </w:rPr>
        <w:t>.</w:t>
      </w:r>
    </w:p>
    <w:p w:rsidR="00D01243" w:rsidRPr="00D01243" w:rsidRDefault="00D01243" w:rsidP="00D01243">
      <w:pPr>
        <w:pStyle w:val="testojustify1"/>
        <w:rPr>
          <w:rFonts w:ascii="Times New Roman" w:hAnsi="Times New Roman"/>
          <w:color w:val="000000"/>
          <w:sz w:val="28"/>
          <w:szCs w:val="28"/>
        </w:rPr>
      </w:pPr>
      <w:r w:rsidRPr="00D01243">
        <w:rPr>
          <w:rFonts w:ascii="Times New Roman" w:hAnsi="Times New Roman"/>
          <w:color w:val="000000"/>
          <w:sz w:val="28"/>
          <w:szCs w:val="28"/>
        </w:rPr>
        <w:t>Questa combinazione della soglia del tre per cento e di quella del 40 per cento conduce a potere ragionevolmente ritenere che questa riforma possa corrispondere a quell'esigenza di rappresentanza da una parte e di stabilità dei Governi dall'altra che è stata, non da oggi, la diade intorno alla quale si è sempre esercitato il legislatore per giungere ad una riforma elettorale.</w:t>
      </w:r>
    </w:p>
    <w:p w:rsidR="00D01243" w:rsidRPr="00D01243" w:rsidRDefault="00D01243" w:rsidP="00D01243">
      <w:pPr>
        <w:pStyle w:val="testojustify1"/>
        <w:rPr>
          <w:rFonts w:ascii="Times New Roman" w:hAnsi="Times New Roman"/>
          <w:color w:val="000000"/>
          <w:sz w:val="28"/>
          <w:szCs w:val="28"/>
        </w:rPr>
      </w:pPr>
      <w:r w:rsidRPr="00D01243">
        <w:rPr>
          <w:rFonts w:ascii="Times New Roman" w:hAnsi="Times New Roman"/>
          <w:color w:val="000000"/>
          <w:sz w:val="28"/>
          <w:szCs w:val="28"/>
        </w:rPr>
        <w:t xml:space="preserve">Vorrei anche dire che ogni qual volta ci si accinge ad una riforma - questo è lo spirito con il quale io e i firmatari degli emendamenti ci siamo mossi - è sempre bene tenere presente il punto da cui ci si muove. Lo dico non per compiacerci ma perché il lavoro del legislatore, che è in sé un lavoro faticoso e non sempre pienamente soddisfacente </w:t>
      </w:r>
      <w:r w:rsidRPr="00D01243">
        <w:rPr>
          <w:rFonts w:ascii="Times New Roman" w:hAnsi="Times New Roman"/>
          <w:color w:val="000000"/>
          <w:sz w:val="28"/>
          <w:szCs w:val="28"/>
        </w:rPr>
        <w:lastRenderedPageBreak/>
        <w:t xml:space="preserve">delle proprie ragioni, ha però continuamente la necessità, a mio avviso, di essere sostenuto dal verificare il progresso che si è compiuto rispetto ad un dato di partenza che viene ritenuto ormai obsoleto se non addirittura sbagliato e quindi da superare. Credo che questi emendamenti riescano nella migliore approssimazione possibile - ripeto l'espressione - ad avanzare rispetto a un modello, il </w:t>
      </w:r>
      <w:proofErr w:type="spellStart"/>
      <w:r w:rsidRPr="00D01243">
        <w:rPr>
          <w:rFonts w:ascii="Times New Roman" w:hAnsi="Times New Roman"/>
          <w:color w:val="000000"/>
          <w:sz w:val="28"/>
          <w:szCs w:val="28"/>
        </w:rPr>
        <w:t>Porcellum</w:t>
      </w:r>
      <w:proofErr w:type="spellEnd"/>
      <w:r w:rsidRPr="00D01243">
        <w:rPr>
          <w:rFonts w:ascii="Times New Roman" w:hAnsi="Times New Roman"/>
          <w:color w:val="000000"/>
          <w:sz w:val="28"/>
          <w:szCs w:val="28"/>
        </w:rPr>
        <w:t>, che, senza che il legislatore sia stato in grado di intervenire, è stato definitivamente sepolto dalla sentenza della Corte costituzionale.</w:t>
      </w:r>
    </w:p>
    <w:p w:rsidR="00D01243" w:rsidRPr="00D01243" w:rsidRDefault="00D01243" w:rsidP="00D01243">
      <w:pPr>
        <w:pStyle w:val="testojustify1"/>
        <w:rPr>
          <w:rFonts w:ascii="Times New Roman" w:hAnsi="Times New Roman"/>
          <w:color w:val="000000"/>
          <w:sz w:val="28"/>
          <w:szCs w:val="28"/>
        </w:rPr>
      </w:pPr>
      <w:r w:rsidRPr="00D01243">
        <w:rPr>
          <w:rFonts w:ascii="Times New Roman" w:hAnsi="Times New Roman"/>
          <w:color w:val="000000"/>
          <w:sz w:val="28"/>
          <w:szCs w:val="28"/>
        </w:rPr>
        <w:t>Il limite del 3 per cento è a mio avviso ragionevole e, soprattutto, possibile; ma penso anche che l'altro elemento al quale guardare sempre, nel difficile lavoro che stiamo facendo, è quello di verificare l'operato sulla base dei dati di realtà e non dei dati di realtà tramutati, perché così più ci piace. Non mi voglio attribuire nessun merito, che sia chiarissimo, né voglio in alcun modo stigmatizzare le opinioni assolutamente legittime dei colleghi, ma penso che dobbiamo guardare ai dati di realtà.</w:t>
      </w:r>
    </w:p>
    <w:p w:rsidR="00D01243" w:rsidRPr="00D01243" w:rsidRDefault="00D01243" w:rsidP="00D01243">
      <w:pPr>
        <w:pStyle w:val="testojustify1"/>
        <w:rPr>
          <w:rFonts w:ascii="Times New Roman" w:hAnsi="Times New Roman"/>
          <w:color w:val="000000"/>
          <w:sz w:val="28"/>
          <w:szCs w:val="28"/>
        </w:rPr>
      </w:pPr>
      <w:r w:rsidRPr="00D01243">
        <w:rPr>
          <w:rFonts w:ascii="Times New Roman" w:hAnsi="Times New Roman"/>
          <w:color w:val="000000"/>
          <w:sz w:val="28"/>
          <w:szCs w:val="28"/>
        </w:rPr>
        <w:t xml:space="preserve">Tanto spesso, in quest'Aula, anche da colleghi del PD, si è evocato l'argomento che una soglia del 3 per cento, in presenza di un premio di maggioranza, sia inaccettabile o addirittura inammissibile. Vorrei solo ricordare che un altro sistema elettorale che qui viene continuamente evocato e che a molti di noi è caro, il </w:t>
      </w:r>
      <w:proofErr w:type="spellStart"/>
      <w:r w:rsidRPr="00D01243">
        <w:rPr>
          <w:rFonts w:ascii="Times New Roman" w:hAnsi="Times New Roman"/>
          <w:color w:val="000000"/>
          <w:sz w:val="28"/>
          <w:szCs w:val="28"/>
        </w:rPr>
        <w:t>Mattarellum</w:t>
      </w:r>
      <w:proofErr w:type="spellEnd"/>
      <w:r w:rsidRPr="00D01243">
        <w:rPr>
          <w:rFonts w:ascii="Times New Roman" w:hAnsi="Times New Roman"/>
          <w:color w:val="000000"/>
          <w:sz w:val="28"/>
          <w:szCs w:val="28"/>
        </w:rPr>
        <w:t>, per l'accesso alla distribuzione dei seggi del cosiddetto listino, quindi di quella parte di listino bloccato che veniva assegnato proporzionalmente, vedeva la soglia del 4 per cento. Ci sono forze politiche che non si erano coalizzate nei collegi che non hanno avuto accesso, proprio in ragione del fatto che c'era una simile soglia.</w:t>
      </w:r>
    </w:p>
    <w:p w:rsidR="00D01243" w:rsidRPr="00D01243" w:rsidRDefault="00D01243" w:rsidP="00D01243">
      <w:pPr>
        <w:pStyle w:val="testojustify1"/>
        <w:rPr>
          <w:rFonts w:ascii="Times New Roman" w:hAnsi="Times New Roman"/>
          <w:color w:val="000000"/>
          <w:sz w:val="28"/>
          <w:szCs w:val="28"/>
        </w:rPr>
      </w:pPr>
      <w:r w:rsidRPr="00D01243">
        <w:rPr>
          <w:rFonts w:ascii="Times New Roman" w:hAnsi="Times New Roman"/>
          <w:color w:val="000000"/>
          <w:sz w:val="28"/>
          <w:szCs w:val="28"/>
        </w:rPr>
        <w:t xml:space="preserve">Il contenuto degli emendamenti è noto a tutti, ed è altresì noto a tutti il fatto che ci sia una questione, che nasce dalla lettura e dalla coerenza con la sentenza della Corte costituzionale, che riguarda il diritto al voto diretto, così straordinariamente compresso, polverizzato, dal sistema del </w:t>
      </w:r>
      <w:proofErr w:type="spellStart"/>
      <w:r w:rsidRPr="00D01243">
        <w:rPr>
          <w:rFonts w:ascii="Times New Roman" w:hAnsi="Times New Roman"/>
          <w:color w:val="000000"/>
          <w:sz w:val="28"/>
          <w:szCs w:val="28"/>
        </w:rPr>
        <w:t>Porcellum</w:t>
      </w:r>
      <w:proofErr w:type="spellEnd"/>
      <w:r w:rsidRPr="00D01243">
        <w:rPr>
          <w:rFonts w:ascii="Times New Roman" w:hAnsi="Times New Roman"/>
          <w:color w:val="000000"/>
          <w:sz w:val="28"/>
          <w:szCs w:val="28"/>
        </w:rPr>
        <w:t xml:space="preserve">. Anche rispetto a questo, credo che la sistemazione che viene dagli emendamenti, sia pure non perfetta - e i colleghi sanno che io sono sensibile personalmente a questo tema - sia però, nelle condizioni date, una sistemazione che a mio avviso non presenta profili di incostituzionalità così vistosi come sono stati denunciati. Cerco di spiegare il perché. Innanzitutto la sentenza della Corte critica il </w:t>
      </w:r>
      <w:proofErr w:type="spellStart"/>
      <w:r w:rsidRPr="00D01243">
        <w:rPr>
          <w:rFonts w:ascii="Times New Roman" w:hAnsi="Times New Roman"/>
          <w:color w:val="000000"/>
          <w:sz w:val="28"/>
          <w:szCs w:val="28"/>
        </w:rPr>
        <w:t>Porcellum</w:t>
      </w:r>
      <w:proofErr w:type="spellEnd"/>
      <w:r w:rsidRPr="00D01243">
        <w:rPr>
          <w:rFonts w:ascii="Times New Roman" w:hAnsi="Times New Roman"/>
          <w:color w:val="000000"/>
          <w:sz w:val="28"/>
          <w:szCs w:val="28"/>
        </w:rPr>
        <w:t xml:space="preserve"> perché tutti i deputati e tutti i senatori venivano eletti nelle liste bloccate.</w:t>
      </w:r>
    </w:p>
    <w:p w:rsidR="00D01243" w:rsidRPr="00D01243" w:rsidRDefault="00D01243" w:rsidP="00D01243">
      <w:pPr>
        <w:pStyle w:val="testojustify1"/>
        <w:rPr>
          <w:rFonts w:ascii="Times New Roman" w:hAnsi="Times New Roman"/>
          <w:color w:val="000000"/>
          <w:sz w:val="28"/>
          <w:szCs w:val="28"/>
        </w:rPr>
      </w:pPr>
      <w:r w:rsidRPr="00D01243">
        <w:rPr>
          <w:rFonts w:ascii="Times New Roman" w:hAnsi="Times New Roman"/>
          <w:color w:val="000000"/>
          <w:sz w:val="28"/>
          <w:szCs w:val="28"/>
        </w:rPr>
        <w:t>Con questo sistema avremmo sulla scheda, visivamente (gli emendamenti recano questa indicazione e la descrivono), il simbolo di ciascuna forza politica e un nome, quindi direttamente e pienamente riconoscibile da parte degli elettori, e poi due righe sulle quali indicare le due preferenze. Queste ultime prevedono il meccanismo della preferenza di genere, per cui devono essere di genere diversi, altrimenti la seconda viene annullata. Sotto il profilo della conoscibilità del soggetto, della riconoscibilità dell'offerta politica, credo che dubbi non ne possiamo avere.</w:t>
      </w:r>
    </w:p>
    <w:p w:rsidR="00D01243" w:rsidRPr="00D01243" w:rsidRDefault="00D01243" w:rsidP="00D01243">
      <w:pPr>
        <w:pStyle w:val="testojustify1"/>
        <w:rPr>
          <w:rFonts w:ascii="Times New Roman" w:hAnsi="Times New Roman"/>
          <w:color w:val="000000"/>
          <w:sz w:val="28"/>
          <w:szCs w:val="28"/>
        </w:rPr>
      </w:pPr>
      <w:r w:rsidRPr="00D01243">
        <w:rPr>
          <w:rFonts w:ascii="Times New Roman" w:hAnsi="Times New Roman"/>
          <w:color w:val="000000"/>
          <w:sz w:val="28"/>
          <w:szCs w:val="28"/>
        </w:rPr>
        <w:t xml:space="preserve">Dico anche di più. L'evocazione del </w:t>
      </w:r>
      <w:proofErr w:type="spellStart"/>
      <w:r w:rsidRPr="00D01243">
        <w:rPr>
          <w:rFonts w:ascii="Times New Roman" w:hAnsi="Times New Roman"/>
          <w:color w:val="000000"/>
          <w:sz w:val="28"/>
          <w:szCs w:val="28"/>
        </w:rPr>
        <w:t>Mattarellum</w:t>
      </w:r>
      <w:proofErr w:type="spellEnd"/>
      <w:r w:rsidRPr="00D01243">
        <w:rPr>
          <w:rFonts w:ascii="Times New Roman" w:hAnsi="Times New Roman"/>
          <w:color w:val="000000"/>
          <w:sz w:val="28"/>
          <w:szCs w:val="28"/>
        </w:rPr>
        <w:t xml:space="preserve"> sul punto è non precisamente appropriata, perché le candidature nei collegi venivano determinate dai giochi tra i partiti alleati, e vorrei ricordare alle poche colleghe che sono ora presenti in Aula quanto questo costò alle candidature femminili. Il listino era un listino bloccato che aveva anche una sua consistenza di lunghezza, quindi non era esattamente così assai più rispettoso del voto diritto di quanto non lo sia invece questo sistema.</w:t>
      </w:r>
    </w:p>
    <w:p w:rsidR="00D01243" w:rsidRPr="00D01243" w:rsidRDefault="00D01243" w:rsidP="00D01243">
      <w:pPr>
        <w:pStyle w:val="testojustify1"/>
        <w:rPr>
          <w:rFonts w:ascii="Times New Roman" w:hAnsi="Times New Roman"/>
          <w:color w:val="000000"/>
          <w:sz w:val="28"/>
          <w:szCs w:val="28"/>
        </w:rPr>
      </w:pPr>
      <w:r w:rsidRPr="00D01243">
        <w:rPr>
          <w:rFonts w:ascii="Times New Roman" w:hAnsi="Times New Roman"/>
          <w:color w:val="000000"/>
          <w:sz w:val="28"/>
          <w:szCs w:val="28"/>
        </w:rPr>
        <w:t xml:space="preserve">Da parte di molti colleghi si dice che le forze </w:t>
      </w:r>
      <w:proofErr w:type="spellStart"/>
      <w:r w:rsidRPr="00D01243">
        <w:rPr>
          <w:rFonts w:ascii="Times New Roman" w:hAnsi="Times New Roman"/>
          <w:color w:val="000000"/>
          <w:sz w:val="28"/>
          <w:szCs w:val="28"/>
        </w:rPr>
        <w:t>medio-piccole</w:t>
      </w:r>
      <w:proofErr w:type="spellEnd"/>
      <w:r w:rsidRPr="00D01243">
        <w:rPr>
          <w:rFonts w:ascii="Times New Roman" w:hAnsi="Times New Roman"/>
          <w:color w:val="000000"/>
          <w:sz w:val="28"/>
          <w:szCs w:val="28"/>
        </w:rPr>
        <w:t xml:space="preserve"> avranno tutti gli eletti nominati. Era esattamente quello che accadeva con il </w:t>
      </w:r>
      <w:proofErr w:type="spellStart"/>
      <w:r w:rsidRPr="00D01243">
        <w:rPr>
          <w:rFonts w:ascii="Times New Roman" w:hAnsi="Times New Roman"/>
          <w:color w:val="000000"/>
          <w:sz w:val="28"/>
          <w:szCs w:val="28"/>
        </w:rPr>
        <w:t>Mattarellum</w:t>
      </w:r>
      <w:proofErr w:type="spellEnd"/>
      <w:r w:rsidRPr="00D01243">
        <w:rPr>
          <w:rFonts w:ascii="Times New Roman" w:hAnsi="Times New Roman"/>
          <w:color w:val="000000"/>
          <w:sz w:val="28"/>
          <w:szCs w:val="28"/>
        </w:rPr>
        <w:t xml:space="preserve"> e che accadde anche per partiti assai più consistenti. Ricordo che, nelle elezioni del 2001, in Sicilia, su 61 collegi il centro</w:t>
      </w:r>
      <w:r w:rsidRPr="00D01243">
        <w:rPr>
          <w:rFonts w:ascii="Times New Roman" w:hAnsi="Times New Roman"/>
          <w:color w:val="000000"/>
          <w:sz w:val="28"/>
          <w:szCs w:val="28"/>
        </w:rPr>
        <w:noBreakHyphen/>
        <w:t xml:space="preserve">destra ne conquistò 61 e la rappresentanza del PDS fu affidata esclusivamente al listino proporzionale: tutti nominati. Allora nessuno se ne scandalizzò; oggi, probabilmente perché la nostra sensibilità, mortificata da otto anni di </w:t>
      </w:r>
      <w:proofErr w:type="spellStart"/>
      <w:r w:rsidRPr="00D01243">
        <w:rPr>
          <w:rFonts w:ascii="Times New Roman" w:hAnsi="Times New Roman"/>
          <w:color w:val="000000"/>
          <w:sz w:val="28"/>
          <w:szCs w:val="28"/>
        </w:rPr>
        <w:t>Porcellum</w:t>
      </w:r>
      <w:proofErr w:type="spellEnd"/>
      <w:r w:rsidRPr="00D01243">
        <w:rPr>
          <w:rFonts w:ascii="Times New Roman" w:hAnsi="Times New Roman"/>
          <w:color w:val="000000"/>
          <w:sz w:val="28"/>
          <w:szCs w:val="28"/>
        </w:rPr>
        <w:t>, si è accentuata, guardiamo a questo fenomeno con preoccupazione.</w:t>
      </w:r>
    </w:p>
    <w:p w:rsidR="00D01243" w:rsidRPr="00D01243" w:rsidRDefault="00D01243" w:rsidP="00D01243">
      <w:pPr>
        <w:pStyle w:val="testojustify1"/>
        <w:rPr>
          <w:rFonts w:ascii="Times New Roman" w:hAnsi="Times New Roman"/>
          <w:color w:val="000000"/>
          <w:sz w:val="28"/>
          <w:szCs w:val="28"/>
        </w:rPr>
      </w:pPr>
      <w:r w:rsidRPr="00D01243">
        <w:rPr>
          <w:rFonts w:ascii="Times New Roman" w:hAnsi="Times New Roman"/>
          <w:color w:val="000000"/>
          <w:sz w:val="28"/>
          <w:szCs w:val="28"/>
        </w:rPr>
        <w:t>Io penso che il dibattito in Parlamento serva anche a questo e, qualora fosse possibile (nel senso che vi fosse uno schieramento ampio di forze, nella migliore approssimazione possibile), si potrebbe anche andare avanti rispetto a questa obiezione.</w:t>
      </w:r>
    </w:p>
    <w:p w:rsidR="00D01243" w:rsidRPr="00D01243" w:rsidRDefault="00D01243" w:rsidP="00D01243">
      <w:pPr>
        <w:pStyle w:val="testojustify1"/>
        <w:rPr>
          <w:rFonts w:ascii="Times New Roman" w:hAnsi="Times New Roman"/>
          <w:color w:val="000000"/>
          <w:sz w:val="28"/>
          <w:szCs w:val="28"/>
        </w:rPr>
      </w:pPr>
      <w:r w:rsidRPr="00D01243">
        <w:rPr>
          <w:rFonts w:ascii="Times New Roman" w:hAnsi="Times New Roman"/>
          <w:color w:val="000000"/>
          <w:sz w:val="28"/>
          <w:szCs w:val="28"/>
        </w:rPr>
        <w:t xml:space="preserve">Una questione, tra le tante che sul punto sono state sollevate, è stata posta dalla senatrice De </w:t>
      </w:r>
      <w:proofErr w:type="spellStart"/>
      <w:r w:rsidRPr="00D01243">
        <w:rPr>
          <w:rFonts w:ascii="Times New Roman" w:hAnsi="Times New Roman"/>
          <w:color w:val="000000"/>
          <w:sz w:val="28"/>
          <w:szCs w:val="28"/>
        </w:rPr>
        <w:t>Petris</w:t>
      </w:r>
      <w:proofErr w:type="spellEnd"/>
      <w:r w:rsidRPr="00D01243">
        <w:rPr>
          <w:rFonts w:ascii="Times New Roman" w:hAnsi="Times New Roman"/>
          <w:color w:val="000000"/>
          <w:sz w:val="28"/>
          <w:szCs w:val="28"/>
        </w:rPr>
        <w:t xml:space="preserve"> ed è una questione vera: è la questione che riguarda la </w:t>
      </w:r>
      <w:proofErr w:type="spellStart"/>
      <w:r w:rsidRPr="00D01243">
        <w:rPr>
          <w:rFonts w:ascii="Times New Roman" w:hAnsi="Times New Roman"/>
          <w:color w:val="000000"/>
          <w:sz w:val="28"/>
          <w:szCs w:val="28"/>
        </w:rPr>
        <w:t>multicandidatura</w:t>
      </w:r>
      <w:proofErr w:type="spellEnd"/>
      <w:r w:rsidRPr="00D01243">
        <w:rPr>
          <w:rFonts w:ascii="Times New Roman" w:hAnsi="Times New Roman"/>
          <w:color w:val="000000"/>
          <w:sz w:val="28"/>
          <w:szCs w:val="28"/>
        </w:rPr>
        <w:t xml:space="preserve"> e il fatto che l'opzione libera possa mortificare la rappresentanza di genere. Credo che su questo punto si possa lavorare. Ho già pensato ad una proposta, la sto perfezionando, la offrirò al dibattito e poi vedrà l'Assemblea come poter proseguire sul punto.</w:t>
      </w:r>
    </w:p>
    <w:p w:rsidR="00D01243" w:rsidRPr="00D01243" w:rsidRDefault="00D01243" w:rsidP="00D01243">
      <w:pPr>
        <w:pStyle w:val="testojustify1"/>
        <w:rPr>
          <w:rFonts w:ascii="Times New Roman" w:hAnsi="Times New Roman"/>
          <w:color w:val="000000"/>
          <w:sz w:val="28"/>
          <w:szCs w:val="28"/>
        </w:rPr>
      </w:pPr>
      <w:r w:rsidRPr="00D01243">
        <w:rPr>
          <w:rFonts w:ascii="Times New Roman" w:hAnsi="Times New Roman"/>
          <w:color w:val="000000"/>
          <w:sz w:val="28"/>
          <w:szCs w:val="28"/>
        </w:rPr>
        <w:t>Questo, dunque, è il corpo degli emendamenti. C'è, poi, la questione che riguarda il ballottaggio, che ovviamente è finalizzato a non lasciare che l'obiettivo della stabilità di Governo venga disperso nel momento in cui non si riesca, al primo turno, a vedere una forza raggiungere il tetto del 40 per cento. Vorrei ricordare ai colleghi della Commissione quante audizioni noi facemmo l'anno scorso, in occasione della nostra prima lettura della legge elettorale, che poi venne spostata alla Camera, e quanto, da parte di tutti gli esperti che furono interrogati, ci venne detto in ordine al fatto che esisteva una sola possibilità per garantire la stabilità, che era, appunto, quella di un ballottaggio che alla fine chiudesse il sistema.</w:t>
      </w:r>
    </w:p>
    <w:p w:rsidR="00D01243" w:rsidRPr="00D01243" w:rsidRDefault="00D01243" w:rsidP="00D01243">
      <w:pPr>
        <w:pStyle w:val="testojustify1"/>
        <w:rPr>
          <w:rFonts w:ascii="Times New Roman" w:hAnsi="Times New Roman"/>
          <w:color w:val="000000"/>
          <w:sz w:val="28"/>
          <w:szCs w:val="28"/>
        </w:rPr>
      </w:pPr>
      <w:r w:rsidRPr="00D01243">
        <w:rPr>
          <w:rFonts w:ascii="Times New Roman" w:hAnsi="Times New Roman"/>
          <w:color w:val="000000"/>
          <w:sz w:val="28"/>
          <w:szCs w:val="28"/>
        </w:rPr>
        <w:t xml:space="preserve">Un'altra norma - e sono le due norme che io e tutti i firmatari degli emendamenti abbiamo aggiunto rispetto al testo presentato in Commissione - riguarda il cosiddetto "effetto </w:t>
      </w:r>
      <w:r w:rsidRPr="00D01243">
        <w:rPr>
          <w:rFonts w:ascii="Times New Roman" w:hAnsi="Times New Roman"/>
          <w:i/>
          <w:iCs/>
          <w:color w:val="000000"/>
          <w:sz w:val="28"/>
          <w:szCs w:val="28"/>
        </w:rPr>
        <w:t>antiflipper</w:t>
      </w:r>
      <w:r w:rsidRPr="00D01243">
        <w:rPr>
          <w:rFonts w:ascii="Times New Roman" w:hAnsi="Times New Roman"/>
          <w:color w:val="000000"/>
          <w:sz w:val="28"/>
          <w:szCs w:val="28"/>
        </w:rPr>
        <w:t>": anch'essa è una questione sulla quale ci siamo interrogati. Per chi non conosca la questione - ma tutti i colleghi la conoscono benissimo - preciso che si tratta del rischio che l'assegnazione di un seggio slitti, per questione di equilibrio nella distribuzione territoriale, da un collegio ad un altro, tradendo così anche la volontà degli elettori nel momento in cui essi abbiano tributato un consenso a quel candidato che abbia in sé un consenso maggiore di quello che, invece, viene poi attribuito al seggio. Ci è sembrato doveroso presentare questa norma in questa stesura, proprio per consentire di attenuare l'effetto di cui abbiamo parlato.</w:t>
      </w:r>
    </w:p>
    <w:p w:rsidR="00D01243" w:rsidRPr="00D01243" w:rsidRDefault="00D01243" w:rsidP="00D01243">
      <w:pPr>
        <w:pStyle w:val="testojustify1"/>
        <w:rPr>
          <w:rFonts w:ascii="Times New Roman" w:hAnsi="Times New Roman"/>
          <w:color w:val="000000"/>
          <w:sz w:val="28"/>
          <w:szCs w:val="28"/>
        </w:rPr>
      </w:pPr>
      <w:r w:rsidRPr="00D01243">
        <w:rPr>
          <w:rFonts w:ascii="Times New Roman" w:hAnsi="Times New Roman"/>
          <w:color w:val="000000"/>
          <w:sz w:val="28"/>
          <w:szCs w:val="28"/>
        </w:rPr>
        <w:t xml:space="preserve">L'ultima norma, infine, è quella che pone al 1º luglio 2016 l'applicazione di questa legge elettorale, sulla base dell'impegno (che è stato un impegno comune) a poter applicare questa norma alle prime elezioni per la Camera dei deputati successive all'approvazione della riforma costituzionale e alla celebrazione del </w:t>
      </w:r>
      <w:r w:rsidRPr="00D01243">
        <w:rPr>
          <w:rFonts w:ascii="Times New Roman" w:hAnsi="Times New Roman"/>
          <w:i/>
          <w:iCs/>
          <w:color w:val="000000"/>
          <w:sz w:val="28"/>
          <w:szCs w:val="28"/>
        </w:rPr>
        <w:t>referendum</w:t>
      </w:r>
      <w:r w:rsidRPr="00D01243">
        <w:rPr>
          <w:rFonts w:ascii="Times New Roman" w:hAnsi="Times New Roman"/>
          <w:color w:val="000000"/>
          <w:sz w:val="28"/>
          <w:szCs w:val="28"/>
        </w:rPr>
        <w:t xml:space="preserve"> confermativo, rispetto al quale c'è un impegno diffuso tra tutte le forze politiche.</w:t>
      </w:r>
    </w:p>
    <w:p w:rsidR="00D01243" w:rsidRPr="00D01243" w:rsidRDefault="00D01243" w:rsidP="00D01243">
      <w:pPr>
        <w:pStyle w:val="testojustify1"/>
        <w:rPr>
          <w:rFonts w:ascii="Times New Roman" w:hAnsi="Times New Roman"/>
          <w:color w:val="000000"/>
          <w:sz w:val="28"/>
          <w:szCs w:val="28"/>
        </w:rPr>
      </w:pPr>
      <w:r w:rsidRPr="00D01243">
        <w:rPr>
          <w:rFonts w:ascii="Times New Roman" w:hAnsi="Times New Roman"/>
          <w:color w:val="000000"/>
          <w:sz w:val="28"/>
          <w:szCs w:val="28"/>
        </w:rPr>
        <w:t xml:space="preserve">Ripeto: questa è la migliore approssimazione possibile e io credo che sia in questo aggettivo la forza di questa proposta. Basta considerare le firme che sono in calce agli emendamenti per comprendere come, per la prima volta e per davvero, dopo otto anni e dopo la sentenza della Corte costituzionale, figlia dell'impotenza del legislatore, siamo nelle condizioni di poter approvare una legge elettorale che sovvenga alle critiche più aspre, che non soltanto dal dibattito pubblico, ma anche dai rilievi della Corte, sono venute alla legge elettorale precedente. </w:t>
      </w:r>
      <w:r w:rsidRPr="00D01243">
        <w:rPr>
          <w:rFonts w:ascii="Times New Roman" w:hAnsi="Times New Roman"/>
          <w:i/>
          <w:iCs/>
          <w:color w:val="000000"/>
          <w:sz w:val="28"/>
          <w:szCs w:val="28"/>
        </w:rPr>
        <w:t>(Applausi dal Gruppo PD)</w:t>
      </w:r>
      <w:r w:rsidRPr="00D01243">
        <w:rPr>
          <w:rFonts w:ascii="Times New Roman" w:hAnsi="Times New Roman"/>
          <w:color w:val="000000"/>
          <w:sz w:val="28"/>
          <w:szCs w:val="28"/>
        </w:rPr>
        <w:t>.</w:t>
      </w:r>
    </w:p>
    <w:p w:rsidR="007D5D6F" w:rsidRPr="00D01243" w:rsidRDefault="007D5D6F">
      <w:pPr>
        <w:rPr>
          <w:rFonts w:ascii="Times New Roman" w:hAnsi="Times New Roman" w:cs="Times New Roman"/>
          <w:sz w:val="28"/>
          <w:szCs w:val="28"/>
        </w:rPr>
      </w:pPr>
    </w:p>
    <w:sectPr w:rsidR="007D5D6F" w:rsidRPr="00D01243" w:rsidSect="007D5D6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savePreviewPicture/>
  <w:compat/>
  <w:rsids>
    <w:rsidRoot w:val="00D01243"/>
    <w:rsid w:val="00157F94"/>
    <w:rsid w:val="00453936"/>
    <w:rsid w:val="005C03BD"/>
    <w:rsid w:val="007D5D6F"/>
    <w:rsid w:val="00A21976"/>
    <w:rsid w:val="00D01243"/>
    <w:rsid w:val="00DB49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it-IT"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7F94"/>
    <w:rPr>
      <w:rFonts w:asciiTheme="minorHAnsi" w:hAnsiTheme="minorHAnsi" w:cstheme="min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01243"/>
    <w:rPr>
      <w:strike w:val="0"/>
      <w:dstrike w:val="0"/>
      <w:color w:val="0000FF"/>
      <w:u w:val="none"/>
      <w:effect w:val="none"/>
      <w:shd w:val="clear" w:color="auto" w:fill="auto"/>
    </w:rPr>
  </w:style>
  <w:style w:type="paragraph" w:customStyle="1" w:styleId="testojustify1">
    <w:name w:val="testojustify1"/>
    <w:basedOn w:val="Normale"/>
    <w:rsid w:val="00D01243"/>
    <w:pPr>
      <w:spacing w:before="16" w:after="16" w:line="240" w:lineRule="auto"/>
      <w:ind w:left="16"/>
      <w:jc w:val="both"/>
    </w:pPr>
    <w:rPr>
      <w:rFonts w:ascii="Verdana" w:eastAsia="Times New Roman" w:hAnsi="Verdana" w:cs="Times New Roman"/>
      <w:color w:val="auto"/>
      <w:sz w:val="24"/>
      <w:szCs w:val="24"/>
      <w:lang w:eastAsia="it-IT"/>
    </w:rPr>
  </w:style>
  <w:style w:type="paragraph" w:styleId="Testofumetto">
    <w:name w:val="Balloon Text"/>
    <w:basedOn w:val="Normale"/>
    <w:link w:val="TestofumettoCarattere"/>
    <w:uiPriority w:val="99"/>
    <w:semiHidden/>
    <w:unhideWhenUsed/>
    <w:rsid w:val="00D01243"/>
    <w:pPr>
      <w:spacing w:before="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12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501321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1660</Words>
  <Characters>9463</Characters>
  <Application>Microsoft Office Word</Application>
  <DocSecurity>0</DocSecurity>
  <Lines>78</Lines>
  <Paragraphs>22</Paragraphs>
  <ScaleCrop>false</ScaleCrop>
  <Company>Senato della Repubblica</Company>
  <LinksUpToDate>false</LinksUpToDate>
  <CharactersWithSpaces>11101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MARAZZA</dc:creator>
  <cp:lastModifiedBy>MARAZZA</cp:lastModifiedBy>
  <cp:revision>1</cp:revision>
  <cp:lastPrinted>2015-01-19T17:39:00Z</cp:lastPrinted>
  <dcterms:created xsi:type="dcterms:W3CDTF">2015-01-19T17:39:00Z</dcterms:created>
  <dcterms:modified xsi:type="dcterms:W3CDTF">2015-01-19T17:41:00Z</dcterms:modified>
</cp:coreProperties>
</file>