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10" w:rsidRPr="00FA0375" w:rsidRDefault="00974E10" w:rsidP="00974E10">
      <w:pPr>
        <w:pStyle w:val="num"/>
        <w:rPr>
          <w:color w:val="auto"/>
        </w:rPr>
      </w:pPr>
      <w:r w:rsidRPr="00FA0375">
        <w:rPr>
          <w:color w:val="auto"/>
        </w:rPr>
        <w:t>4.1000</w:t>
      </w:r>
    </w:p>
    <w:p w:rsidR="00974E10" w:rsidRPr="00FA0375" w:rsidRDefault="00974E10" w:rsidP="00974E10">
      <w:pPr>
        <w:pStyle w:val="firm"/>
        <w:rPr>
          <w:color w:val="auto"/>
        </w:rPr>
      </w:pPr>
      <w:r w:rsidRPr="00FA0375">
        <w:rPr>
          <w:color w:val="auto"/>
        </w:rPr>
        <w:t>Il Governo</w:t>
      </w:r>
    </w:p>
    <w:p w:rsidR="00974E10" w:rsidRPr="00FA0375" w:rsidRDefault="00974E10" w:rsidP="00D90CE5">
      <w:pPr>
        <w:pStyle w:val="emen"/>
        <w:shd w:val="clear" w:color="auto" w:fill="auto"/>
        <w:rPr>
          <w:iCs/>
        </w:rPr>
      </w:pPr>
      <w:r w:rsidRPr="00FA0375">
        <w:rPr>
          <w:iCs/>
        </w:rPr>
        <w:t xml:space="preserve">Sostituire l’articolo con il seguente: </w:t>
      </w:r>
    </w:p>
    <w:p w:rsidR="00974E10" w:rsidRPr="00FA0375" w:rsidRDefault="00974E10" w:rsidP="00D90CE5">
      <w:pPr>
        <w:pStyle w:val="emen"/>
        <w:shd w:val="clear" w:color="auto" w:fill="auto"/>
        <w:jc w:val="both"/>
        <w:rPr>
          <w:i w:val="0"/>
        </w:rPr>
      </w:pPr>
      <w:r w:rsidRPr="00FA0375">
        <w:rPr>
          <w:i w:val="0"/>
        </w:rPr>
        <w:t xml:space="preserve">        «Art. 4. </w:t>
      </w:r>
      <w:r w:rsidRPr="00FA0375">
        <w:t xml:space="preserve">– (Delega al Governo in materia di riordino delle forme contrattuali e dell’attività ispettiva). – </w:t>
      </w:r>
      <w:r w:rsidRPr="00FA0375">
        <w:rPr>
          <w:i w:val="0"/>
        </w:rPr>
        <w:t xml:space="preserve">1. Allo scopo di rafforzare le opportunità di ingresso nel mondo del lavoro da parte di coloro che sono in cerca di occupazione, nonché di riordinare i contratti di lavoro vigenti per renderli maggiormente coerenti con le attuali esigenze del contesto occupazionale e produttivo e di rendere più efficiente l’attività ispettiva, il Governo è delegato ad adottare, su proposta del Ministro del lavoro e delle politiche sociali, entro il termine di sei mesi dalla data di entrata in vigore della presente legge, uno o più decreti legislativi di cui uno recante un testo organico semplificato delle discipline delle tipologie contrattuali e dei rapporti di lavoro, nel rispetto dei seguenti principi e criteri direttivi, in coerenza con la regolazione comunitaria e le convenzioni internazionali: </w:t>
      </w:r>
    </w:p>
    <w:p w:rsidR="00974E10" w:rsidRPr="00FA0375" w:rsidRDefault="00974E10" w:rsidP="00D90CE5">
      <w:pPr>
        <w:pStyle w:val="emen"/>
        <w:shd w:val="clear" w:color="auto" w:fill="auto"/>
        <w:ind w:firstLine="0"/>
        <w:jc w:val="both"/>
        <w:rPr>
          <w:i w:val="0"/>
        </w:rPr>
      </w:pPr>
      <w:r w:rsidRPr="00FA0375">
        <w:t>            a)</w:t>
      </w:r>
      <w:r w:rsidRPr="00FA0375">
        <w:rPr>
          <w:i w:val="0"/>
        </w:rPr>
        <w:t xml:space="preserve"> individuare e analizzare tutte le forme contrattuali esistenti, ai fini di poterne valutare l’effettiva coerenza con il tessuto occupazionale e con il contesto produttivo nazionale e internazionale, anche in funzione di eventuali interventi di semplificazione delle medesime tipologie contrattuali;</w:t>
      </w:r>
    </w:p>
    <w:p w:rsidR="00974E10" w:rsidRPr="00FA0375" w:rsidRDefault="00974E10" w:rsidP="00D90CE5">
      <w:pPr>
        <w:pStyle w:val="emen"/>
        <w:shd w:val="clear" w:color="auto" w:fill="auto"/>
        <w:spacing w:before="0"/>
        <w:ind w:firstLine="0"/>
        <w:rPr>
          <w:i w:val="0"/>
        </w:rPr>
      </w:pPr>
      <w:r w:rsidRPr="00FA0375">
        <w:t>            b)</w:t>
      </w:r>
      <w:r w:rsidRPr="00FA0375">
        <w:rPr>
          <w:i w:val="0"/>
        </w:rPr>
        <w:t xml:space="preserve"> previsione, per le nuove  assunzioni, del contratto a tempo indeterminato a tutele crescenti in relazione all’anzianità di servizio;</w:t>
      </w:r>
    </w:p>
    <w:p w:rsidR="00974E10" w:rsidRPr="00FA0375" w:rsidRDefault="00974E10" w:rsidP="00D90CE5">
      <w:pPr>
        <w:pStyle w:val="emen"/>
        <w:shd w:val="clear" w:color="auto" w:fill="auto"/>
        <w:spacing w:before="0"/>
        <w:ind w:firstLine="0"/>
        <w:jc w:val="both"/>
        <w:rPr>
          <w:i w:val="0"/>
        </w:rPr>
      </w:pPr>
      <w:r w:rsidRPr="00FA0375">
        <w:t>       c)</w:t>
      </w:r>
      <w:r w:rsidRPr="00FA0375">
        <w:rPr>
          <w:i w:val="0"/>
        </w:rPr>
        <w:t xml:space="preserve"> revisione della disciplina delle mansioni, contemperando l’interesse dell’impresa all’utile impiego del personale in caso di processi di riorganizzazione, ristrutturazione o conversione aziendale con l’interesse del lavoratore alla tutela del posto di lavoro, della professionalità e delle condizioni di vita, prevedendo limiti alla modifica dell’inquadramento;</w:t>
      </w:r>
    </w:p>
    <w:p w:rsidR="00974E10" w:rsidRPr="00FA0375" w:rsidRDefault="00974E10" w:rsidP="00D90CE5">
      <w:pPr>
        <w:pStyle w:val="emen"/>
        <w:shd w:val="clear" w:color="auto" w:fill="auto"/>
        <w:spacing w:before="0"/>
        <w:ind w:firstLine="0"/>
        <w:jc w:val="both"/>
        <w:rPr>
          <w:i w:val="0"/>
        </w:rPr>
      </w:pPr>
      <w:r w:rsidRPr="00FA0375">
        <w:t>        d)</w:t>
      </w:r>
      <w:r w:rsidRPr="00FA0375">
        <w:rPr>
          <w:i w:val="0"/>
        </w:rPr>
        <w:t xml:space="preserve"> revisione della disciplina dei controlli a distanza, tenendo conto dell’evoluzione   tecnologica e contemperando le esigenze produttive ed organizzative dell’impresa con la tutela della dignità e della riservatezza del lavoratore;</w:t>
      </w:r>
    </w:p>
    <w:p w:rsidR="00974E10" w:rsidRPr="00FA0375" w:rsidRDefault="00974E10" w:rsidP="00D90CE5">
      <w:pPr>
        <w:pStyle w:val="emen"/>
        <w:shd w:val="clear" w:color="auto" w:fill="auto"/>
        <w:spacing w:before="0"/>
        <w:ind w:firstLine="0"/>
        <w:jc w:val="both"/>
        <w:rPr>
          <w:i w:val="0"/>
        </w:rPr>
      </w:pPr>
      <w:r w:rsidRPr="00FA0375">
        <w:t>        e)</w:t>
      </w:r>
      <w:r w:rsidRPr="00FA0375">
        <w:rPr>
          <w:i w:val="0"/>
        </w:rPr>
        <w:t xml:space="preserve"> introduzione, eventualmente anche in via sperimentale, del compenso orario minimo, applicabile ai rapporti aventi ad oggetto una prestazione di lavoro subordinato, nonché nei rapporti di collaborazione coordinata e continuativa, nei settori non regolati da contratti collettivi sottoscritti dalle organizzazioni sindacali dei lavoratori e dei datori di lavoro comparativamente più rappresentativi sul piano nazionale, previa consultazione delle parti sociali comparativamente più rappresentative sul piano sociale;</w:t>
      </w:r>
    </w:p>
    <w:p w:rsidR="00974E10" w:rsidRPr="00FA0375" w:rsidRDefault="00974E10" w:rsidP="00D90CE5">
      <w:pPr>
        <w:pStyle w:val="emen"/>
        <w:shd w:val="clear" w:color="auto" w:fill="auto"/>
        <w:spacing w:before="0"/>
        <w:ind w:firstLine="0"/>
        <w:jc w:val="both"/>
        <w:rPr>
          <w:i w:val="0"/>
        </w:rPr>
      </w:pPr>
      <w:r w:rsidRPr="00FA0375">
        <w:t>            f)</w:t>
      </w:r>
      <w:r w:rsidRPr="00FA0375">
        <w:rPr>
          <w:i w:val="0"/>
        </w:rPr>
        <w:t xml:space="preserve"> previsione della possibilità di estendere il ricorso a prestazioni di lavoro accessorio per le attività lavorative discontinue e occasionali, in tutti i settori produttivi, attraverso la elevazione dei limiti di reddito attualmente previsti e assicurando la piena tracciabilità dei buoni lavoro acquistati;</w:t>
      </w:r>
    </w:p>
    <w:p w:rsidR="00974E10" w:rsidRPr="00FA0375" w:rsidRDefault="00974E10" w:rsidP="00D90CE5">
      <w:pPr>
        <w:pStyle w:val="emen"/>
        <w:shd w:val="clear" w:color="auto" w:fill="auto"/>
        <w:spacing w:before="0"/>
        <w:ind w:firstLine="0"/>
        <w:jc w:val="both"/>
        <w:rPr>
          <w:i w:val="0"/>
        </w:rPr>
      </w:pPr>
      <w:r w:rsidRPr="00FA0375">
        <w:t>        g)</w:t>
      </w:r>
      <w:r w:rsidRPr="00FA0375">
        <w:rPr>
          <w:i w:val="0"/>
        </w:rPr>
        <w:t xml:space="preserve"> abrogazione di tutte le disposizioni che disciplinano le singole forme contrattuali, incompatibili con le disposizioni del testo organico semplificato</w:t>
      </w:r>
      <w:bookmarkStart w:id="0" w:name="_GoBack"/>
      <w:bookmarkEnd w:id="0"/>
      <w:r w:rsidRPr="00FA0375">
        <w:rPr>
          <w:i w:val="0"/>
        </w:rPr>
        <w:t>, al fine di eliminare duplicazioni normative e difficoltà interpretative e applicative;</w:t>
      </w:r>
    </w:p>
    <w:p w:rsidR="00974E10" w:rsidRPr="00FA0375" w:rsidRDefault="00974E10" w:rsidP="00D90CE5">
      <w:pPr>
        <w:pStyle w:val="a"/>
      </w:pPr>
      <w:r w:rsidRPr="00FA0375">
        <w:t>        </w:t>
      </w:r>
      <w:r w:rsidRPr="00FA0375">
        <w:rPr>
          <w:i/>
        </w:rPr>
        <w:t>h)</w:t>
      </w:r>
      <w:r w:rsidRPr="00FA0375">
        <w:t xml:space="preserve"> razionalizzazione e semplificazione dell’attività ispettiva, attraverso misure di coordinamento ovvero attraverso l’istituzione, ai sensi dell’articolo 8 del decreto legislativo 30 luglio 1999, n. 300, senza nuovi o maggiori oneri a carico della finanza pubblica e con le risorse umane, strumentali e finanziarie disponibili a legislazione vigente, di una Agenzia unica per le ispezioni del lavoro, tramite l’integrazione in un’unica struttura dei servizi ispettivi del Ministero del lavoro e delle politiche sociali, dell’INPS e dell’INAIL, prevedendo strumenti e forme di coordinamento con i servizi ispettivi delle ASL e delle ARPA.».</w:t>
      </w:r>
    </w:p>
    <w:p w:rsidR="00A20DFA" w:rsidRPr="00FA0375" w:rsidRDefault="00A20DFA"/>
    <w:sectPr w:rsidR="00A20DFA" w:rsidRPr="00FA0375" w:rsidSect="00A20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/>
  <w:defaultTabStop w:val="708"/>
  <w:hyphenationZone w:val="283"/>
  <w:characterSpacingControl w:val="doNotCompress"/>
  <w:compat/>
  <w:rsids>
    <w:rsidRoot w:val="00974E10"/>
    <w:rsid w:val="002A1B5A"/>
    <w:rsid w:val="0094043F"/>
    <w:rsid w:val="00974E10"/>
    <w:rsid w:val="00A20DFA"/>
    <w:rsid w:val="00AE23D3"/>
    <w:rsid w:val="00D90CE5"/>
    <w:rsid w:val="00E451CF"/>
    <w:rsid w:val="00EB5D14"/>
    <w:rsid w:val="00FA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D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name w:val="a"/>
    <w:rsid w:val="00974E1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paragraph" w:customStyle="1" w:styleId="emen">
    <w:name w:val="emen"/>
    <w:rsid w:val="00974E10"/>
    <w:pPr>
      <w:shd w:val="pct5" w:color="auto" w:fill="FFFFFF"/>
      <w:spacing w:before="120" w:after="0" w:line="240" w:lineRule="auto"/>
      <w:ind w:firstLine="567"/>
      <w:outlineLvl w:val="7"/>
    </w:pPr>
    <w:rPr>
      <w:rFonts w:ascii="Times New Roman" w:eastAsia="Times New Roman" w:hAnsi="Times New Roman" w:cs="Times New Roman"/>
      <w:i/>
      <w:noProof/>
      <w:sz w:val="24"/>
      <w:szCs w:val="20"/>
      <w:lang w:eastAsia="it-IT"/>
    </w:rPr>
  </w:style>
  <w:style w:type="paragraph" w:customStyle="1" w:styleId="firm">
    <w:name w:val="firm"/>
    <w:next w:val="emen"/>
    <w:rsid w:val="00974E10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noProof/>
      <w:snapToGrid w:val="0"/>
      <w:color w:val="339966"/>
      <w:sz w:val="24"/>
      <w:szCs w:val="20"/>
      <w:lang w:eastAsia="it-IT"/>
    </w:rPr>
  </w:style>
  <w:style w:type="paragraph" w:customStyle="1" w:styleId="num">
    <w:name w:val="num"/>
    <w:next w:val="firm"/>
    <w:autoRedefine/>
    <w:rsid w:val="00974E10"/>
    <w:pPr>
      <w:keepNext/>
      <w:widowControl w:val="0"/>
      <w:spacing w:before="720" w:after="0" w:line="240" w:lineRule="auto"/>
      <w:outlineLvl w:val="4"/>
    </w:pPr>
    <w:rPr>
      <w:rFonts w:ascii="Times New Roman" w:eastAsia="Times New Roman" w:hAnsi="Times New Roman" w:cs="Times New Roman"/>
      <w:b/>
      <w:noProof/>
      <w:color w:val="FF00FF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C90E5-8CCE-4E4A-96E6-772D9D03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3227</Characters>
  <Application>Microsoft Office Word</Application>
  <DocSecurity>0</DocSecurity>
  <Lines>26</Lines>
  <Paragraphs>7</Paragraphs>
  <ScaleCrop>false</ScaleCrop>
  <Company>Senato della Repubblica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GIANNATTASIO</dc:creator>
  <cp:lastModifiedBy>GIANNATTASIO</cp:lastModifiedBy>
  <cp:revision>3</cp:revision>
  <dcterms:created xsi:type="dcterms:W3CDTF">2014-09-17T07:27:00Z</dcterms:created>
  <dcterms:modified xsi:type="dcterms:W3CDTF">2014-09-17T07:30:00Z</dcterms:modified>
</cp:coreProperties>
</file>